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611B" w14:textId="77777777" w:rsidR="00BA4E61" w:rsidRDefault="00BA4E61" w:rsidP="001D6460">
      <w:pPr>
        <w:rPr>
          <w:lang w:val="en-US"/>
        </w:rPr>
      </w:pPr>
    </w:p>
    <w:p w14:paraId="41DC214D" w14:textId="77777777" w:rsidR="00D12095" w:rsidRDefault="00D12095" w:rsidP="001D6460">
      <w:pPr>
        <w:rPr>
          <w:lang w:val="en-US"/>
        </w:rPr>
      </w:pPr>
    </w:p>
    <w:p w14:paraId="34F64E4E" w14:textId="77777777" w:rsidR="00D12095" w:rsidRDefault="00D12095" w:rsidP="001D6460">
      <w:pPr>
        <w:rPr>
          <w:lang w:val="en-US"/>
        </w:rPr>
      </w:pPr>
    </w:p>
    <w:p w14:paraId="6826DD2D" w14:textId="77777777" w:rsidR="00F86831" w:rsidRDefault="00F86831" w:rsidP="00D12095">
      <w:pPr>
        <w:rPr>
          <w:rFonts w:eastAsia="Times New Roman"/>
          <w:color w:val="1F3864" w:themeColor="accent1" w:themeShade="80"/>
          <w:sz w:val="72"/>
          <w:szCs w:val="72"/>
        </w:rPr>
      </w:pPr>
    </w:p>
    <w:p w14:paraId="35FFF532" w14:textId="77777777" w:rsidR="00D12095" w:rsidRPr="00995A33" w:rsidRDefault="00D12095" w:rsidP="00D12095">
      <w:pPr>
        <w:rPr>
          <w:rFonts w:asciiTheme="minorHAnsi" w:eastAsia="Times New Roman" w:hAnsiTheme="minorHAnsi"/>
          <w:color w:val="1F3864" w:themeColor="accent1" w:themeShade="80"/>
          <w:sz w:val="72"/>
          <w:szCs w:val="72"/>
        </w:rPr>
      </w:pPr>
      <w:r w:rsidRPr="00D12095">
        <w:rPr>
          <w:rFonts w:asciiTheme="minorHAnsi" w:eastAsia="Times New Roman" w:hAnsiTheme="minorHAnsi"/>
          <w:color w:val="1F3864" w:themeColor="accent1" w:themeShade="80"/>
          <w:sz w:val="72"/>
          <w:szCs w:val="72"/>
        </w:rPr>
        <w:t xml:space="preserve">Indicator specification: </w:t>
      </w:r>
    </w:p>
    <w:p w14:paraId="376E3D95" w14:textId="77777777" w:rsidR="00F86831" w:rsidRPr="00995A33" w:rsidRDefault="00F86831" w:rsidP="00D12095">
      <w:pPr>
        <w:rPr>
          <w:rFonts w:eastAsia="Times New Roman"/>
          <w:color w:val="1F3864" w:themeColor="accent1" w:themeShade="80"/>
          <w:sz w:val="72"/>
          <w:szCs w:val="72"/>
        </w:rPr>
      </w:pPr>
    </w:p>
    <w:p w14:paraId="1B3D3C5F" w14:textId="405AFDA3" w:rsidR="00D12095" w:rsidRPr="00995A33" w:rsidRDefault="00253F41" w:rsidP="00D12095">
      <w:pPr>
        <w:rPr>
          <w:rFonts w:asciiTheme="minorHAnsi" w:eastAsia="Times New Roman" w:hAnsiTheme="minorHAnsi"/>
          <w:color w:val="1F3864" w:themeColor="accent1" w:themeShade="80"/>
          <w:sz w:val="72"/>
          <w:szCs w:val="72"/>
        </w:rPr>
      </w:pPr>
      <w:r>
        <w:rPr>
          <w:rFonts w:asciiTheme="minorHAnsi" w:eastAsia="Times New Roman" w:hAnsiTheme="minorHAnsi"/>
          <w:color w:val="1F3864" w:themeColor="accent1" w:themeShade="80"/>
          <w:sz w:val="72"/>
          <w:szCs w:val="72"/>
        </w:rPr>
        <w:t>PLDR</w:t>
      </w:r>
      <w:r w:rsidR="00197FDD">
        <w:rPr>
          <w:rFonts w:asciiTheme="minorHAnsi" w:eastAsia="Times New Roman" w:hAnsiTheme="minorHAnsi"/>
          <w:color w:val="1F3864" w:themeColor="accent1" w:themeShade="80"/>
          <w:sz w:val="72"/>
          <w:szCs w:val="72"/>
        </w:rPr>
        <w:t xml:space="preserve"> collection</w:t>
      </w:r>
      <w:r w:rsidR="00D12095" w:rsidRPr="00D12095">
        <w:rPr>
          <w:rFonts w:asciiTheme="minorHAnsi" w:eastAsia="Times New Roman" w:hAnsiTheme="minorHAnsi"/>
          <w:color w:val="1F3864" w:themeColor="accent1" w:themeShade="80"/>
          <w:sz w:val="72"/>
          <w:szCs w:val="72"/>
        </w:rPr>
        <w:t xml:space="preserve"> of population health indicators </w:t>
      </w:r>
    </w:p>
    <w:p w14:paraId="1741C7AE" w14:textId="77777777" w:rsidR="00D12095" w:rsidRPr="00F86831" w:rsidRDefault="00D12095" w:rsidP="00F86831">
      <w:pPr>
        <w:pBdr>
          <w:bottom w:val="single" w:sz="24" w:space="1" w:color="1F3864" w:themeColor="accent1" w:themeShade="80"/>
        </w:pBdr>
        <w:rPr>
          <w:rFonts w:asciiTheme="minorHAnsi" w:eastAsia="Times New Roman" w:hAnsiTheme="minorHAnsi"/>
          <w:sz w:val="40"/>
          <w:szCs w:val="40"/>
        </w:rPr>
      </w:pPr>
    </w:p>
    <w:p w14:paraId="51961668" w14:textId="77777777" w:rsidR="00F86831" w:rsidRPr="00F86831" w:rsidRDefault="00F86831" w:rsidP="00D12095">
      <w:pPr>
        <w:rPr>
          <w:rFonts w:eastAsia="Times New Roman"/>
          <w:b/>
          <w:color w:val="1F3864" w:themeColor="accent1" w:themeShade="80"/>
          <w:sz w:val="40"/>
          <w:szCs w:val="40"/>
        </w:rPr>
      </w:pPr>
    </w:p>
    <w:p w14:paraId="05E67677" w14:textId="5027C768" w:rsidR="00F86831" w:rsidRPr="00995A33" w:rsidRDefault="00EE6BD3" w:rsidP="00D12095">
      <w:pPr>
        <w:rPr>
          <w:rFonts w:eastAsia="Times New Roman"/>
          <w:color w:val="1F3864" w:themeColor="accent1" w:themeShade="80"/>
          <w:sz w:val="40"/>
          <w:szCs w:val="40"/>
        </w:rPr>
      </w:pPr>
      <w:r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>Experimental Measures</w:t>
      </w:r>
      <w:r w:rsidR="00503161" w:rsidRPr="00503161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 xml:space="preserve"> </w:t>
      </w:r>
      <w:r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>–</w:t>
      </w:r>
      <w:r w:rsidR="00DF2177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 xml:space="preserve"> Families at Risk of Housing Insecurity Index (FRoHII)</w:t>
      </w:r>
    </w:p>
    <w:p w14:paraId="755B6F2C" w14:textId="77777777" w:rsidR="00F86831" w:rsidRDefault="00F86831" w:rsidP="00D12095">
      <w:pPr>
        <w:rPr>
          <w:rFonts w:eastAsia="Times New Roman"/>
          <w:b/>
          <w:color w:val="1F3864" w:themeColor="accent1" w:themeShade="80"/>
          <w:sz w:val="40"/>
          <w:szCs w:val="40"/>
        </w:rPr>
      </w:pPr>
    </w:p>
    <w:p w14:paraId="4FC4D0D0" w14:textId="77777777" w:rsidR="00F86831" w:rsidRDefault="00F86831" w:rsidP="00D12095">
      <w:pPr>
        <w:rPr>
          <w:rFonts w:eastAsia="Times New Roman"/>
          <w:b/>
          <w:color w:val="1F3864" w:themeColor="accent1" w:themeShade="80"/>
          <w:sz w:val="40"/>
          <w:szCs w:val="40"/>
        </w:rPr>
      </w:pPr>
    </w:p>
    <w:p w14:paraId="2114EBEC" w14:textId="77777777" w:rsidR="00F86831" w:rsidRDefault="00F86831" w:rsidP="00D12095">
      <w:pPr>
        <w:rPr>
          <w:rFonts w:eastAsia="Times New Roman"/>
          <w:b/>
          <w:color w:val="1F3864" w:themeColor="accent1" w:themeShade="80"/>
          <w:sz w:val="40"/>
          <w:szCs w:val="40"/>
        </w:rPr>
      </w:pPr>
    </w:p>
    <w:p w14:paraId="3AAB760E" w14:textId="77777777" w:rsidR="00A312C7" w:rsidRDefault="00A312C7" w:rsidP="00D12095">
      <w:pPr>
        <w:rPr>
          <w:rFonts w:eastAsia="Times New Roman"/>
          <w:b/>
          <w:color w:val="1F3864" w:themeColor="accent1" w:themeShade="80"/>
          <w:sz w:val="40"/>
          <w:szCs w:val="40"/>
        </w:rPr>
      </w:pPr>
    </w:p>
    <w:p w14:paraId="5EDCCF33" w14:textId="4132ADB7" w:rsidR="00A312C7" w:rsidRDefault="00A312C7" w:rsidP="00D12095">
      <w:pPr>
        <w:rPr>
          <w:rFonts w:eastAsia="Times New Roman"/>
          <w:b/>
          <w:color w:val="1F3864" w:themeColor="accent1" w:themeShade="80"/>
          <w:sz w:val="40"/>
          <w:szCs w:val="40"/>
        </w:rPr>
      </w:pPr>
    </w:p>
    <w:p w14:paraId="503F2457" w14:textId="77777777" w:rsidR="00503161" w:rsidRDefault="00503161" w:rsidP="00D12095">
      <w:pPr>
        <w:rPr>
          <w:rFonts w:eastAsia="Times New Roman"/>
          <w:b/>
          <w:color w:val="1F3864" w:themeColor="accent1" w:themeShade="80"/>
          <w:sz w:val="40"/>
          <w:szCs w:val="40"/>
        </w:rPr>
      </w:pPr>
    </w:p>
    <w:p w14:paraId="5805C8BE" w14:textId="77777777" w:rsidR="00A312C7" w:rsidRDefault="00A312C7" w:rsidP="00D12095">
      <w:pPr>
        <w:rPr>
          <w:rFonts w:eastAsia="Times New Roman"/>
          <w:b/>
          <w:color w:val="1F3864" w:themeColor="accent1" w:themeShade="80"/>
          <w:sz w:val="40"/>
          <w:szCs w:val="40"/>
        </w:rPr>
      </w:pPr>
    </w:p>
    <w:p w14:paraId="70F30C78" w14:textId="77777777" w:rsidR="00A312C7" w:rsidRDefault="00A312C7" w:rsidP="00D12095">
      <w:pPr>
        <w:rPr>
          <w:rFonts w:eastAsia="Times New Roman"/>
          <w:b/>
          <w:color w:val="1F3864" w:themeColor="accent1" w:themeShade="80"/>
          <w:sz w:val="40"/>
          <w:szCs w:val="40"/>
        </w:rPr>
      </w:pPr>
    </w:p>
    <w:p w14:paraId="37324391" w14:textId="77777777" w:rsidR="00F86831" w:rsidRDefault="00F86831" w:rsidP="00D12095">
      <w:pPr>
        <w:rPr>
          <w:rFonts w:eastAsia="Times New Roman"/>
          <w:b/>
          <w:color w:val="1F3864" w:themeColor="accent1" w:themeShade="80"/>
          <w:sz w:val="40"/>
          <w:szCs w:val="40"/>
        </w:rPr>
      </w:pPr>
    </w:p>
    <w:p w14:paraId="1E56E1C7" w14:textId="77777777" w:rsidR="00F86831" w:rsidRDefault="00F86831" w:rsidP="00D12095">
      <w:pPr>
        <w:rPr>
          <w:rFonts w:eastAsia="Times New Roman"/>
          <w:b/>
          <w:color w:val="1F3864" w:themeColor="accent1" w:themeShade="80"/>
          <w:sz w:val="40"/>
          <w:szCs w:val="40"/>
        </w:rPr>
      </w:pPr>
    </w:p>
    <w:p w14:paraId="06204971" w14:textId="44908E17" w:rsidR="00F86831" w:rsidRDefault="00F86831" w:rsidP="00D12095">
      <w:pPr>
        <w:rPr>
          <w:rFonts w:eastAsia="Times New Roman"/>
          <w:b/>
          <w:color w:val="1F3864" w:themeColor="accent1" w:themeShade="80"/>
          <w:sz w:val="40"/>
          <w:szCs w:val="40"/>
        </w:rPr>
      </w:pPr>
    </w:p>
    <w:p w14:paraId="1FAE25BB" w14:textId="0E80FD05" w:rsidR="00F86831" w:rsidRPr="00995A33" w:rsidRDefault="00253F41" w:rsidP="00D12095">
      <w:pPr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411FB5" wp14:editId="5A783707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845185" cy="844550"/>
            <wp:effectExtent l="0" t="0" r="0" b="0"/>
            <wp:wrapSquare wrapText="bothSides"/>
            <wp:docPr id="7" name="Picture 7" descr="https://pldr.datapress.io/wp-content/themes/bulma-pldr/img/brand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ldr.datapress.io/wp-content/themes/bulma-pldr/img/brand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42"/>
                    <a:stretch/>
                  </pic:blipFill>
                  <pic:spPr bwMode="auto">
                    <a:xfrm>
                      <a:off x="0" y="0"/>
                      <a:ext cx="84518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095" w:rsidRPr="00D12095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 xml:space="preserve">Version: </w:t>
      </w:r>
      <w:r w:rsidR="001A62EC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>1</w:t>
      </w:r>
      <w:r w:rsidR="00D12095" w:rsidRPr="00D12095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>.</w:t>
      </w:r>
      <w:r w:rsidR="00F86831" w:rsidRPr="00995A33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>0</w:t>
      </w:r>
      <w:r w:rsidR="00603272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>1</w:t>
      </w:r>
      <w:r w:rsidR="00D12095" w:rsidRPr="00D12095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 xml:space="preserve"> </w:t>
      </w:r>
    </w:p>
    <w:p w14:paraId="76EA3AD1" w14:textId="39D09EFA" w:rsidR="00F86831" w:rsidRPr="00995A33" w:rsidRDefault="00D12095" w:rsidP="00D12095">
      <w:pPr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</w:pPr>
      <w:r w:rsidRPr="00D12095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 xml:space="preserve">Date: </w:t>
      </w:r>
      <w:r w:rsidR="001A62EC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>March</w:t>
      </w:r>
      <w:r w:rsidR="007B0433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 xml:space="preserve"> </w:t>
      </w:r>
      <w:r w:rsidRPr="00D12095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>20</w:t>
      </w:r>
      <w:r w:rsidR="00971D98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>2</w:t>
      </w:r>
      <w:r w:rsidR="007B0433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>5</w:t>
      </w:r>
    </w:p>
    <w:p w14:paraId="12DF537F" w14:textId="5264070A" w:rsidR="00D12095" w:rsidRPr="00D12095" w:rsidRDefault="00D12095" w:rsidP="00D12095">
      <w:pPr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</w:pPr>
      <w:r w:rsidRPr="00D12095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>Author</w:t>
      </w:r>
      <w:r w:rsidR="00A74B06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>s</w:t>
      </w:r>
      <w:r w:rsidRPr="00D12095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 xml:space="preserve">: </w:t>
      </w:r>
      <w:r w:rsidR="001A62EC">
        <w:rPr>
          <w:rFonts w:asciiTheme="minorHAnsi" w:eastAsia="Times New Roman" w:hAnsiTheme="minorHAnsi"/>
          <w:color w:val="1F3864" w:themeColor="accent1" w:themeShade="80"/>
          <w:sz w:val="40"/>
          <w:szCs w:val="40"/>
        </w:rPr>
        <w:t>Jamie O’Brien</w:t>
      </w:r>
    </w:p>
    <w:p w14:paraId="2552908C" w14:textId="77777777" w:rsidR="00A74B06" w:rsidRDefault="00A74B06" w:rsidP="00A312C7">
      <w:pPr>
        <w:rPr>
          <w:rFonts w:eastAsia="Times New Roman"/>
          <w:b/>
          <w:color w:val="1F3864" w:themeColor="accent1" w:themeShade="80"/>
          <w:sz w:val="28"/>
          <w:szCs w:val="28"/>
        </w:rPr>
      </w:pPr>
    </w:p>
    <w:p w14:paraId="1C92F473" w14:textId="77777777" w:rsidR="00A312C7" w:rsidRPr="00A25AC8" w:rsidRDefault="00A312C7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  <w:sz w:val="28"/>
          <w:szCs w:val="28"/>
        </w:rPr>
      </w:pPr>
      <w:r w:rsidRPr="00A25AC8">
        <w:rPr>
          <w:rFonts w:asciiTheme="minorHAnsi" w:eastAsia="Times New Roman" w:hAnsiTheme="minorHAnsi"/>
          <w:b/>
          <w:color w:val="1F3864" w:themeColor="accent1" w:themeShade="80"/>
          <w:sz w:val="28"/>
          <w:szCs w:val="28"/>
        </w:rPr>
        <w:t xml:space="preserve">Overview </w:t>
      </w:r>
    </w:p>
    <w:p w14:paraId="4CB893ED" w14:textId="77777777" w:rsidR="00A312C7" w:rsidRPr="00A25AC8" w:rsidRDefault="00A312C7" w:rsidP="00A25AC8">
      <w:pPr>
        <w:spacing w:line="276" w:lineRule="auto"/>
        <w:rPr>
          <w:rFonts w:asciiTheme="minorHAnsi" w:eastAsia="Times New Roman" w:hAnsiTheme="minorHAnsi"/>
        </w:rPr>
      </w:pPr>
    </w:p>
    <w:p w14:paraId="600FD51F" w14:textId="77777777" w:rsidR="00A312C7" w:rsidRPr="00A25AC8" w:rsidRDefault="00A312C7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  <w:r w:rsidRPr="00A25AC8">
        <w:rPr>
          <w:rFonts w:asciiTheme="minorHAnsi" w:eastAsia="Times New Roman" w:hAnsiTheme="minorHAnsi"/>
          <w:b/>
          <w:color w:val="1F3864" w:themeColor="accent1" w:themeShade="80"/>
        </w:rPr>
        <w:t xml:space="preserve">Indicator title </w:t>
      </w:r>
    </w:p>
    <w:p w14:paraId="1358F93B" w14:textId="77777777" w:rsidR="00DF2177" w:rsidRPr="00DF2177" w:rsidRDefault="00DF2177" w:rsidP="00DF2177">
      <w:pPr>
        <w:rPr>
          <w:rFonts w:eastAsia="Times New Roman"/>
          <w:color w:val="1F3864" w:themeColor="accent1" w:themeShade="80"/>
        </w:rPr>
      </w:pPr>
      <w:r w:rsidRPr="00DF2177">
        <w:rPr>
          <w:rFonts w:asciiTheme="minorHAnsi" w:eastAsia="Times New Roman" w:hAnsiTheme="minorHAnsi"/>
          <w:color w:val="1F3864" w:themeColor="accent1" w:themeShade="80"/>
        </w:rPr>
        <w:t>Experimental Measures – Families at Risk of Housing Insecurity Index (FRoHII)</w:t>
      </w:r>
    </w:p>
    <w:p w14:paraId="047F4D7D" w14:textId="77777777" w:rsidR="00EC161A" w:rsidRPr="00A25AC8" w:rsidRDefault="00EC161A" w:rsidP="00A25AC8">
      <w:pPr>
        <w:spacing w:line="276" w:lineRule="auto"/>
        <w:rPr>
          <w:rFonts w:asciiTheme="minorHAnsi" w:eastAsia="Times New Roman" w:hAnsiTheme="minorHAnsi"/>
        </w:rPr>
      </w:pPr>
    </w:p>
    <w:p w14:paraId="1114B5B3" w14:textId="77777777" w:rsidR="00A312C7" w:rsidRPr="00EC161A" w:rsidRDefault="00A312C7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  <w:r w:rsidRPr="00EC161A">
        <w:rPr>
          <w:rFonts w:asciiTheme="minorHAnsi" w:eastAsia="Times New Roman" w:hAnsiTheme="minorHAnsi"/>
          <w:b/>
          <w:color w:val="1F3864" w:themeColor="accent1" w:themeShade="80"/>
        </w:rPr>
        <w:t xml:space="preserve">Indicator family name </w:t>
      </w:r>
    </w:p>
    <w:p w14:paraId="7495043A" w14:textId="0B6B8B2F" w:rsidR="00EC161A" w:rsidRDefault="00971D98" w:rsidP="00A25AC8">
      <w:pPr>
        <w:spacing w:line="276" w:lineRule="auto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Experimental Measures.</w:t>
      </w:r>
    </w:p>
    <w:p w14:paraId="37C74E7C" w14:textId="77777777" w:rsidR="00971D98" w:rsidRPr="00A25AC8" w:rsidRDefault="00971D98" w:rsidP="00A25AC8">
      <w:pPr>
        <w:spacing w:line="276" w:lineRule="auto"/>
        <w:rPr>
          <w:rFonts w:asciiTheme="minorHAnsi" w:eastAsia="Times New Roman" w:hAnsiTheme="minorHAnsi"/>
        </w:rPr>
      </w:pPr>
    </w:p>
    <w:p w14:paraId="13265E57" w14:textId="5E583C21" w:rsidR="00A312C7" w:rsidRPr="00A25AC8" w:rsidRDefault="001F10D1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  <w:r>
        <w:rPr>
          <w:rFonts w:asciiTheme="minorHAnsi" w:eastAsia="Times New Roman" w:hAnsiTheme="minorHAnsi"/>
          <w:b/>
          <w:color w:val="1F3864" w:themeColor="accent1" w:themeShade="80"/>
        </w:rPr>
        <w:t>Summary</w:t>
      </w:r>
      <w:r w:rsidR="00A312C7" w:rsidRPr="00A25AC8">
        <w:rPr>
          <w:rFonts w:asciiTheme="minorHAnsi" w:eastAsia="Times New Roman" w:hAnsiTheme="minorHAnsi"/>
          <w:b/>
          <w:color w:val="1F3864" w:themeColor="accent1" w:themeShade="80"/>
        </w:rPr>
        <w:t xml:space="preserve"> </w:t>
      </w:r>
    </w:p>
    <w:p w14:paraId="504D9316" w14:textId="47B1A891" w:rsidR="00C62369" w:rsidRDefault="001152CC" w:rsidP="00A25AC8">
      <w:pPr>
        <w:spacing w:line="276" w:lineRule="auto"/>
        <w:rPr>
          <w:rFonts w:asciiTheme="minorHAnsi" w:eastAsia="Times New Roman" w:hAnsiTheme="minorHAnsi"/>
        </w:rPr>
      </w:pPr>
      <w:r w:rsidRPr="001152CC">
        <w:rPr>
          <w:rFonts w:asciiTheme="minorHAnsi" w:eastAsia="Times New Roman" w:hAnsiTheme="minorHAnsi"/>
        </w:rPr>
        <w:t xml:space="preserve">The </w:t>
      </w:r>
      <w:r w:rsidR="00DF2177" w:rsidRPr="00DF2177">
        <w:rPr>
          <w:rFonts w:asciiTheme="minorHAnsi" w:eastAsia="Times New Roman" w:hAnsiTheme="minorHAnsi"/>
          <w:color w:val="1F3864" w:themeColor="accent1" w:themeShade="80"/>
        </w:rPr>
        <w:t>FRoHII</w:t>
      </w:r>
      <w:r w:rsidR="00DF2177" w:rsidRPr="001152CC">
        <w:rPr>
          <w:rFonts w:asciiTheme="minorHAnsi" w:eastAsia="Times New Roman" w:hAnsiTheme="minorHAnsi"/>
        </w:rPr>
        <w:t xml:space="preserve"> </w:t>
      </w:r>
      <w:r w:rsidRPr="001152CC">
        <w:rPr>
          <w:rFonts w:asciiTheme="minorHAnsi" w:eastAsia="Times New Roman" w:hAnsiTheme="minorHAnsi"/>
        </w:rPr>
        <w:t xml:space="preserve">is a composite </w:t>
      </w:r>
      <w:r w:rsidR="00DF2177">
        <w:rPr>
          <w:rFonts w:asciiTheme="minorHAnsi" w:eastAsia="Times New Roman" w:hAnsiTheme="minorHAnsi"/>
        </w:rPr>
        <w:t>estimate</w:t>
      </w:r>
      <w:r w:rsidRPr="001152CC">
        <w:rPr>
          <w:rFonts w:asciiTheme="minorHAnsi" w:eastAsia="Times New Roman" w:hAnsiTheme="minorHAnsi"/>
        </w:rPr>
        <w:t xml:space="preserve"> of </w:t>
      </w:r>
      <w:r w:rsidR="00DF2177">
        <w:rPr>
          <w:rFonts w:asciiTheme="minorHAnsi" w:eastAsia="Times New Roman" w:hAnsiTheme="minorHAnsi"/>
        </w:rPr>
        <w:t>family households in areas of relative risk of housing insecurity f</w:t>
      </w:r>
      <w:r w:rsidRPr="001152CC">
        <w:rPr>
          <w:rFonts w:asciiTheme="minorHAnsi" w:eastAsia="Times New Roman" w:hAnsiTheme="minorHAnsi"/>
        </w:rPr>
        <w:t xml:space="preserve">or each Lower Super Output Area (LSOA) in England. The </w:t>
      </w:r>
      <w:r w:rsidR="00DF2177" w:rsidRPr="00DF2177">
        <w:rPr>
          <w:rFonts w:asciiTheme="minorHAnsi" w:eastAsia="Times New Roman" w:hAnsiTheme="minorHAnsi"/>
          <w:color w:val="1F3864" w:themeColor="accent1" w:themeShade="80"/>
        </w:rPr>
        <w:t>FRoHII</w:t>
      </w:r>
      <w:r w:rsidR="00DF2177" w:rsidRPr="001152CC">
        <w:rPr>
          <w:rFonts w:asciiTheme="minorHAnsi" w:eastAsia="Times New Roman" w:hAnsiTheme="minorHAnsi"/>
        </w:rPr>
        <w:t xml:space="preserve"> </w:t>
      </w:r>
      <w:r w:rsidRPr="001152CC">
        <w:rPr>
          <w:rFonts w:asciiTheme="minorHAnsi" w:eastAsia="Times New Roman" w:hAnsiTheme="minorHAnsi"/>
        </w:rPr>
        <w:t xml:space="preserve">combines data </w:t>
      </w:r>
      <w:r w:rsidR="00DF2177">
        <w:rPr>
          <w:rFonts w:asciiTheme="minorHAnsi" w:eastAsia="Times New Roman" w:hAnsiTheme="minorHAnsi"/>
        </w:rPr>
        <w:t>related to</w:t>
      </w:r>
      <w:r w:rsidRPr="001152CC">
        <w:rPr>
          <w:rFonts w:asciiTheme="minorHAnsi" w:eastAsia="Times New Roman" w:hAnsiTheme="minorHAnsi"/>
        </w:rPr>
        <w:t xml:space="preserve"> </w:t>
      </w:r>
      <w:r w:rsidR="00DF2177">
        <w:rPr>
          <w:rFonts w:asciiTheme="minorHAnsi" w:eastAsia="Times New Roman" w:hAnsiTheme="minorHAnsi"/>
        </w:rPr>
        <w:t>housing insecurity</w:t>
      </w:r>
      <w:r w:rsidRPr="001152CC">
        <w:rPr>
          <w:rFonts w:asciiTheme="minorHAnsi" w:eastAsia="Times New Roman" w:hAnsiTheme="minorHAnsi"/>
        </w:rPr>
        <w:t xml:space="preserve"> </w:t>
      </w:r>
      <w:r w:rsidR="00DF2177">
        <w:rPr>
          <w:rFonts w:asciiTheme="minorHAnsi" w:eastAsia="Times New Roman" w:hAnsiTheme="minorHAnsi"/>
        </w:rPr>
        <w:t xml:space="preserve">as it affects families with dependent children aged 16 and under </w:t>
      </w:r>
      <w:r w:rsidRPr="001152CC">
        <w:rPr>
          <w:rFonts w:asciiTheme="minorHAnsi" w:eastAsia="Times New Roman" w:hAnsiTheme="minorHAnsi"/>
        </w:rPr>
        <w:t>from multiple sources (</w:t>
      </w:r>
      <w:r w:rsidR="00DF2177">
        <w:rPr>
          <w:rFonts w:asciiTheme="minorHAnsi" w:eastAsia="Times New Roman" w:hAnsiTheme="minorHAnsi"/>
        </w:rPr>
        <w:t xml:space="preserve">Income Deprivation Affecting Children, Eligibility for Free School Meals, </w:t>
      </w:r>
      <w:r w:rsidR="006C52A9">
        <w:rPr>
          <w:rFonts w:asciiTheme="minorHAnsi" w:eastAsia="Times New Roman" w:hAnsiTheme="minorHAnsi"/>
        </w:rPr>
        <w:t xml:space="preserve">Residential Mobility, Dwelling Age, </w:t>
      </w:r>
      <w:r w:rsidR="00DF2177">
        <w:rPr>
          <w:rFonts w:asciiTheme="minorHAnsi" w:eastAsia="Times New Roman" w:hAnsiTheme="minorHAnsi"/>
        </w:rPr>
        <w:t xml:space="preserve">% lone-parent households, </w:t>
      </w:r>
      <w:r w:rsidR="006C52A9">
        <w:rPr>
          <w:rFonts w:asciiTheme="minorHAnsi" w:eastAsia="Times New Roman" w:hAnsiTheme="minorHAnsi"/>
        </w:rPr>
        <w:t xml:space="preserve">% households in fuel poverty, </w:t>
      </w:r>
      <w:r w:rsidR="00DF2177">
        <w:rPr>
          <w:rFonts w:asciiTheme="minorHAnsi" w:eastAsia="Times New Roman" w:hAnsiTheme="minorHAnsi"/>
        </w:rPr>
        <w:t>% BAME households, mental health (SAMHI) decile</w:t>
      </w:r>
      <w:r w:rsidR="006C52A9">
        <w:rPr>
          <w:rFonts w:asciiTheme="minorHAnsi" w:eastAsia="Times New Roman" w:hAnsiTheme="minorHAnsi"/>
        </w:rPr>
        <w:t>)</w:t>
      </w:r>
      <w:r w:rsidR="00DF2177">
        <w:rPr>
          <w:rFonts w:asciiTheme="minorHAnsi" w:eastAsia="Times New Roman" w:hAnsiTheme="minorHAnsi"/>
        </w:rPr>
        <w:t xml:space="preserve">, </w:t>
      </w:r>
      <w:r w:rsidRPr="001152CC">
        <w:rPr>
          <w:rFonts w:asciiTheme="minorHAnsi" w:eastAsia="Times New Roman" w:hAnsiTheme="minorHAnsi"/>
        </w:rPr>
        <w:t>into a single index.</w:t>
      </w:r>
    </w:p>
    <w:p w14:paraId="1FD10670" w14:textId="77777777" w:rsidR="001152CC" w:rsidRPr="00A25AC8" w:rsidRDefault="001152CC" w:rsidP="00A25AC8">
      <w:pPr>
        <w:spacing w:line="276" w:lineRule="auto"/>
        <w:rPr>
          <w:rFonts w:asciiTheme="minorHAnsi" w:eastAsia="Times New Roman" w:hAnsiTheme="minorHAnsi"/>
        </w:rPr>
      </w:pPr>
    </w:p>
    <w:p w14:paraId="563B4C7C" w14:textId="77777777" w:rsidR="00A312C7" w:rsidRPr="00A25AC8" w:rsidRDefault="00A312C7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  <w:r w:rsidRPr="00A25AC8">
        <w:rPr>
          <w:rFonts w:asciiTheme="minorHAnsi" w:eastAsia="Times New Roman" w:hAnsiTheme="minorHAnsi"/>
          <w:b/>
          <w:color w:val="1F3864" w:themeColor="accent1" w:themeShade="80"/>
        </w:rPr>
        <w:t xml:space="preserve">Technical description </w:t>
      </w:r>
    </w:p>
    <w:p w14:paraId="4D1D6F5B" w14:textId="217CF48A" w:rsidR="00323097" w:rsidRPr="00323097" w:rsidRDefault="007725CB" w:rsidP="004A18DB">
      <w:pPr>
        <w:spacing w:line="276" w:lineRule="auto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Each metric included in the index was either percentage or decile and weighted by expert consensus. </w:t>
      </w:r>
    </w:p>
    <w:p w14:paraId="661C5C09" w14:textId="77777777" w:rsidR="004A374D" w:rsidRDefault="004A374D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</w:p>
    <w:p w14:paraId="54FF656E" w14:textId="1EC57204" w:rsidR="00707380" w:rsidRPr="00707380" w:rsidRDefault="00707380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  <w:r w:rsidRPr="00707380">
        <w:rPr>
          <w:rFonts w:asciiTheme="minorHAnsi" w:eastAsia="Times New Roman" w:hAnsiTheme="minorHAnsi"/>
          <w:b/>
          <w:color w:val="1F3864" w:themeColor="accent1" w:themeShade="80"/>
        </w:rPr>
        <w:t>Unique Identifier</w:t>
      </w:r>
    </w:p>
    <w:p w14:paraId="61214921" w14:textId="1C2E0A3C" w:rsidR="00707380" w:rsidRDefault="007725CB" w:rsidP="00A25AC8">
      <w:pPr>
        <w:spacing w:line="276" w:lineRule="auto"/>
        <w:rPr>
          <w:rFonts w:asciiTheme="minorHAnsi" w:eastAsia="Times New Roman" w:hAnsiTheme="minorHAnsi"/>
          <w:color w:val="1F3864" w:themeColor="accent1" w:themeShade="80"/>
        </w:rPr>
      </w:pPr>
      <w:r w:rsidRPr="00DF2177">
        <w:rPr>
          <w:rFonts w:asciiTheme="minorHAnsi" w:eastAsia="Times New Roman" w:hAnsiTheme="minorHAnsi"/>
          <w:color w:val="1F3864" w:themeColor="accent1" w:themeShade="80"/>
        </w:rPr>
        <w:t>FRoHII</w:t>
      </w:r>
    </w:p>
    <w:p w14:paraId="3EF168A7" w14:textId="77777777" w:rsidR="007725CB" w:rsidRPr="00A25AC8" w:rsidRDefault="007725CB" w:rsidP="00A25AC8">
      <w:pPr>
        <w:spacing w:line="276" w:lineRule="auto"/>
        <w:rPr>
          <w:rFonts w:asciiTheme="minorHAnsi" w:hAnsiTheme="minorHAnsi"/>
          <w:lang w:val="en-US"/>
        </w:rPr>
      </w:pPr>
    </w:p>
    <w:p w14:paraId="4CDDFA9A" w14:textId="77777777" w:rsidR="00A312C7" w:rsidRPr="00A25AC8" w:rsidRDefault="00A312C7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  <w:sz w:val="28"/>
          <w:szCs w:val="28"/>
        </w:rPr>
      </w:pPr>
      <w:r w:rsidRPr="00A25AC8">
        <w:rPr>
          <w:rFonts w:asciiTheme="minorHAnsi" w:eastAsia="Times New Roman" w:hAnsiTheme="minorHAnsi"/>
          <w:b/>
          <w:color w:val="1F3864" w:themeColor="accent1" w:themeShade="80"/>
          <w:sz w:val="28"/>
          <w:szCs w:val="28"/>
        </w:rPr>
        <w:t xml:space="preserve">Construction </w:t>
      </w:r>
    </w:p>
    <w:p w14:paraId="7AE3B691" w14:textId="5C750F3A" w:rsidR="00A312C7" w:rsidRDefault="00A312C7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</w:p>
    <w:p w14:paraId="325D11A0" w14:textId="77777777" w:rsidR="005A3A87" w:rsidRDefault="00287352" w:rsidP="00E232A6">
      <w:pPr>
        <w:spacing w:line="276" w:lineRule="auto"/>
        <w:jc w:val="both"/>
        <w:rPr>
          <w:rFonts w:asciiTheme="minorHAnsi" w:eastAsia="Times New Roman" w:hAnsiTheme="minorHAnsi"/>
        </w:rPr>
      </w:pPr>
      <w:r w:rsidRPr="00287352">
        <w:rPr>
          <w:rFonts w:asciiTheme="minorHAnsi" w:eastAsia="Times New Roman" w:hAnsiTheme="minorHAnsi"/>
        </w:rPr>
        <w:t xml:space="preserve">This </w:t>
      </w:r>
      <w:r w:rsidR="001B3B84">
        <w:rPr>
          <w:rFonts w:asciiTheme="minorHAnsi" w:eastAsia="Times New Roman" w:hAnsiTheme="minorHAnsi"/>
        </w:rPr>
        <w:t>section</w:t>
      </w:r>
      <w:r w:rsidRPr="00287352">
        <w:rPr>
          <w:rFonts w:asciiTheme="minorHAnsi" w:eastAsia="Times New Roman" w:hAnsiTheme="minorHAnsi"/>
        </w:rPr>
        <w:t xml:space="preserve"> provides numerator</w:t>
      </w:r>
      <w:r w:rsidR="00A165FB">
        <w:rPr>
          <w:rFonts w:asciiTheme="minorHAnsi" w:eastAsia="Times New Roman" w:hAnsiTheme="minorHAnsi"/>
        </w:rPr>
        <w:t xml:space="preserve"> &amp;</w:t>
      </w:r>
      <w:r w:rsidRPr="00287352">
        <w:rPr>
          <w:rFonts w:asciiTheme="minorHAnsi" w:eastAsia="Times New Roman" w:hAnsiTheme="minorHAnsi"/>
        </w:rPr>
        <w:t xml:space="preserve"> denominator details </w:t>
      </w:r>
      <w:r w:rsidR="006F5E20">
        <w:rPr>
          <w:rFonts w:asciiTheme="minorHAnsi" w:eastAsia="Times New Roman" w:hAnsiTheme="minorHAnsi"/>
        </w:rPr>
        <w:t>and</w:t>
      </w:r>
      <w:r w:rsidR="00A165FB">
        <w:rPr>
          <w:rFonts w:asciiTheme="minorHAnsi" w:eastAsia="Times New Roman" w:hAnsiTheme="minorHAnsi"/>
        </w:rPr>
        <w:t xml:space="preserve"> </w:t>
      </w:r>
      <w:r w:rsidR="007C2994">
        <w:rPr>
          <w:rFonts w:asciiTheme="minorHAnsi" w:eastAsia="Times New Roman" w:hAnsiTheme="minorHAnsi"/>
        </w:rPr>
        <w:t>sources</w:t>
      </w:r>
      <w:r w:rsidR="006F5E20">
        <w:rPr>
          <w:rFonts w:asciiTheme="minorHAnsi" w:eastAsia="Times New Roman" w:hAnsiTheme="minorHAnsi"/>
        </w:rPr>
        <w:t xml:space="preserve"> </w:t>
      </w:r>
      <w:r w:rsidRPr="00287352">
        <w:rPr>
          <w:rFonts w:asciiTheme="minorHAnsi" w:eastAsia="Times New Roman" w:hAnsiTheme="minorHAnsi"/>
        </w:rPr>
        <w:t xml:space="preserve">for each of the </w:t>
      </w:r>
      <w:r w:rsidR="007725CB">
        <w:rPr>
          <w:rFonts w:asciiTheme="minorHAnsi" w:eastAsia="Times New Roman" w:hAnsiTheme="minorHAnsi"/>
        </w:rPr>
        <w:t>8</w:t>
      </w:r>
      <w:r w:rsidRPr="00287352">
        <w:rPr>
          <w:rFonts w:asciiTheme="minorHAnsi" w:eastAsia="Times New Roman" w:hAnsiTheme="minorHAnsi"/>
        </w:rPr>
        <w:t xml:space="preserve"> indicators</w:t>
      </w:r>
      <w:r w:rsidR="007C2994">
        <w:rPr>
          <w:rFonts w:asciiTheme="minorHAnsi" w:eastAsia="Times New Roman" w:hAnsiTheme="minorHAnsi"/>
        </w:rPr>
        <w:t xml:space="preserve"> </w:t>
      </w:r>
      <w:r w:rsidRPr="00287352">
        <w:rPr>
          <w:rFonts w:asciiTheme="minorHAnsi" w:eastAsia="Times New Roman" w:hAnsiTheme="minorHAnsi"/>
        </w:rPr>
        <w:t xml:space="preserve">included in the </w:t>
      </w:r>
      <w:r w:rsidR="007725CB" w:rsidRPr="00DF2177">
        <w:rPr>
          <w:rFonts w:asciiTheme="minorHAnsi" w:eastAsia="Times New Roman" w:hAnsiTheme="minorHAnsi"/>
          <w:color w:val="1F3864" w:themeColor="accent1" w:themeShade="80"/>
        </w:rPr>
        <w:t>FRoHII</w:t>
      </w:r>
      <w:r w:rsidRPr="00287352">
        <w:rPr>
          <w:rFonts w:asciiTheme="minorHAnsi" w:eastAsia="Times New Roman" w:hAnsiTheme="minorHAnsi"/>
        </w:rPr>
        <w:t xml:space="preserve">. </w:t>
      </w:r>
      <w:r w:rsidR="00CC0BF5">
        <w:rPr>
          <w:rFonts w:asciiTheme="minorHAnsi" w:eastAsia="Times New Roman" w:hAnsiTheme="minorHAnsi"/>
        </w:rPr>
        <w:t>Th</w:t>
      </w:r>
      <w:r w:rsidR="00D8098E">
        <w:rPr>
          <w:rFonts w:asciiTheme="minorHAnsi" w:eastAsia="Times New Roman" w:hAnsiTheme="minorHAnsi"/>
        </w:rPr>
        <w:t>is</w:t>
      </w:r>
      <w:r w:rsidR="00CC0BF5">
        <w:rPr>
          <w:rFonts w:asciiTheme="minorHAnsi" w:eastAsia="Times New Roman" w:hAnsiTheme="minorHAnsi"/>
        </w:rPr>
        <w:t xml:space="preserve"> </w:t>
      </w:r>
      <w:r w:rsidR="00F752BD">
        <w:rPr>
          <w:rFonts w:asciiTheme="minorHAnsi" w:eastAsia="Times New Roman" w:hAnsiTheme="minorHAnsi"/>
        </w:rPr>
        <w:t xml:space="preserve">index </w:t>
      </w:r>
      <w:r w:rsidRPr="00287352">
        <w:rPr>
          <w:rFonts w:asciiTheme="minorHAnsi" w:eastAsia="Times New Roman" w:hAnsiTheme="minorHAnsi"/>
        </w:rPr>
        <w:t xml:space="preserve">has been based on </w:t>
      </w:r>
      <w:r w:rsidR="007725CB">
        <w:rPr>
          <w:rFonts w:asciiTheme="minorHAnsi" w:eastAsia="Times New Roman" w:hAnsiTheme="minorHAnsi"/>
        </w:rPr>
        <w:t>Census 2021</w:t>
      </w:r>
      <w:r w:rsidR="00253B60">
        <w:rPr>
          <w:rFonts w:asciiTheme="minorHAnsi" w:eastAsia="Times New Roman" w:hAnsiTheme="minorHAnsi"/>
        </w:rPr>
        <w:t xml:space="preserve"> Families in </w:t>
      </w:r>
      <w:r w:rsidR="005A3A87">
        <w:rPr>
          <w:rFonts w:asciiTheme="minorHAnsi" w:eastAsia="Times New Roman" w:hAnsiTheme="minorHAnsi"/>
        </w:rPr>
        <w:t>England</w:t>
      </w:r>
      <w:r w:rsidR="00253B60">
        <w:rPr>
          <w:rFonts w:asciiTheme="minorHAnsi" w:eastAsia="Times New Roman" w:hAnsiTheme="minorHAnsi"/>
        </w:rPr>
        <w:t xml:space="preserve"> and Wales 2021</w:t>
      </w:r>
      <w:r w:rsidR="007725CB">
        <w:rPr>
          <w:rFonts w:asciiTheme="minorHAnsi" w:eastAsia="Times New Roman" w:hAnsiTheme="minorHAnsi"/>
        </w:rPr>
        <w:t xml:space="preserve">, school characteristics data 2023, CDRC Residential Mobility 2023, </w:t>
      </w:r>
      <w:r w:rsidR="00253B60">
        <w:rPr>
          <w:rFonts w:asciiTheme="minorHAnsi" w:eastAsia="Times New Roman" w:hAnsiTheme="minorHAnsi"/>
        </w:rPr>
        <w:t xml:space="preserve">CDRD Dwelling Age 2021, </w:t>
      </w:r>
      <w:r w:rsidR="007725CB">
        <w:rPr>
          <w:rFonts w:asciiTheme="minorHAnsi" w:eastAsia="Times New Roman" w:hAnsiTheme="minorHAnsi"/>
        </w:rPr>
        <w:t>Households in Fuel Poverty 2022, mental health (SAMHI) 20</w:t>
      </w:r>
      <w:r w:rsidR="00253B60">
        <w:rPr>
          <w:rFonts w:asciiTheme="minorHAnsi" w:eastAsia="Times New Roman" w:hAnsiTheme="minorHAnsi"/>
        </w:rPr>
        <w:t xml:space="preserve">22. </w:t>
      </w:r>
      <w:r w:rsidR="005A3A87">
        <w:rPr>
          <w:rFonts w:asciiTheme="minorHAnsi" w:eastAsia="Times New Roman" w:hAnsiTheme="minorHAnsi"/>
        </w:rPr>
        <w:t xml:space="preserve"> </w:t>
      </w:r>
    </w:p>
    <w:p w14:paraId="5C648DD8" w14:textId="77777777" w:rsidR="005A3A87" w:rsidRDefault="005A3A87" w:rsidP="00E232A6">
      <w:pPr>
        <w:spacing w:line="276" w:lineRule="auto"/>
        <w:jc w:val="both"/>
        <w:rPr>
          <w:rFonts w:asciiTheme="minorHAnsi" w:eastAsia="Times New Roman" w:hAnsiTheme="minorHAnsi"/>
        </w:rPr>
      </w:pPr>
    </w:p>
    <w:p w14:paraId="11D6167D" w14:textId="3779F2CE" w:rsidR="00287352" w:rsidRPr="00287352" w:rsidRDefault="007725CB" w:rsidP="00E232A6">
      <w:pPr>
        <w:spacing w:line="276" w:lineRule="auto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Eligibility for Free School Meals was imputed through mean percentages in proportion to the ratio of primary school-age children to the working population for each LSOA in which data were missing.</w:t>
      </w:r>
    </w:p>
    <w:p w14:paraId="1A6CD6B1" w14:textId="77777777" w:rsidR="00287352" w:rsidRPr="00A25AC8" w:rsidRDefault="00287352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</w:p>
    <w:p w14:paraId="44AD0963" w14:textId="77777777" w:rsidR="004A3C68" w:rsidRDefault="004A3C68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</w:p>
    <w:p w14:paraId="73986A4A" w14:textId="77777777" w:rsidR="004A3C68" w:rsidRDefault="004A3C68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</w:p>
    <w:p w14:paraId="624AB3A4" w14:textId="77777777" w:rsidR="004A3C68" w:rsidRDefault="004A3C68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</w:p>
    <w:p w14:paraId="67E18553" w14:textId="77777777" w:rsidR="004A3C68" w:rsidRDefault="004A3C68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</w:p>
    <w:p w14:paraId="7EB7313A" w14:textId="77777777" w:rsidR="004A3C68" w:rsidRDefault="004A3C68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</w:p>
    <w:p w14:paraId="74B746F7" w14:textId="77777777" w:rsidR="004A3C68" w:rsidRDefault="004A3C68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</w:p>
    <w:p w14:paraId="15C64B1F" w14:textId="77777777" w:rsidR="004A3C68" w:rsidRDefault="004A3C68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</w:p>
    <w:p w14:paraId="0CDFC39A" w14:textId="362A748E" w:rsidR="00A312C7" w:rsidRPr="00A25AC8" w:rsidRDefault="00A312C7" w:rsidP="00A25AC8">
      <w:pPr>
        <w:spacing w:line="276" w:lineRule="auto"/>
        <w:rPr>
          <w:rFonts w:asciiTheme="minorHAnsi" w:eastAsia="Times New Roman" w:hAnsiTheme="minorHAnsi"/>
          <w:b/>
          <w:color w:val="1F3864" w:themeColor="accent1" w:themeShade="80"/>
        </w:rPr>
      </w:pPr>
      <w:r w:rsidRPr="00A25AC8">
        <w:rPr>
          <w:rFonts w:asciiTheme="minorHAnsi" w:eastAsia="Times New Roman" w:hAnsiTheme="minorHAnsi"/>
          <w:b/>
          <w:color w:val="1F3864" w:themeColor="accent1" w:themeShade="80"/>
        </w:rPr>
        <w:t xml:space="preserve">Data sources </w:t>
      </w:r>
    </w:p>
    <w:tbl>
      <w:tblPr>
        <w:tblpPr w:leftFromText="180" w:rightFromText="180" w:vertAnchor="text" w:horzAnchor="margin" w:tblpY="710"/>
        <w:tblW w:w="93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977"/>
        <w:gridCol w:w="2270"/>
        <w:gridCol w:w="1700"/>
      </w:tblGrid>
      <w:tr w:rsidR="00CA6A8A" w:rsidRPr="00B7004A" w14:paraId="19745D82" w14:textId="77777777" w:rsidTr="00B7004A">
        <w:trPr>
          <w:trHeight w:val="406"/>
        </w:trPr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8C16" w14:textId="77777777" w:rsidR="00CA6A8A" w:rsidRPr="00B7004A" w:rsidRDefault="00CA6A8A" w:rsidP="00197138">
            <w:pPr>
              <w:ind w:left="360"/>
              <w:rPr>
                <w:rFonts w:ascii="Calibri" w:hAnsi="Calibri" w:cs="Calibri"/>
                <w:b/>
                <w:bCs/>
              </w:rPr>
            </w:pPr>
            <w:r w:rsidRPr="00B7004A">
              <w:rPr>
                <w:rFonts w:ascii="Calibri" w:hAnsi="Calibri" w:cs="Calibri"/>
                <w:b/>
                <w:bCs/>
              </w:rPr>
              <w:t>Metric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D30919" w14:textId="77777777" w:rsidR="00CA6A8A" w:rsidRPr="00B7004A" w:rsidRDefault="00CA6A8A" w:rsidP="00197138">
            <w:pPr>
              <w:ind w:left="360"/>
              <w:rPr>
                <w:rFonts w:ascii="Calibri" w:hAnsi="Calibri" w:cs="Calibri"/>
                <w:b/>
                <w:bCs/>
              </w:rPr>
            </w:pPr>
            <w:r w:rsidRPr="00B7004A">
              <w:rPr>
                <w:rFonts w:ascii="Calibri" w:hAnsi="Calibri" w:cs="Calibri"/>
                <w:b/>
                <w:bCs/>
              </w:rPr>
              <w:t>Datasets and sources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902C7E" w14:textId="1B29C3C6" w:rsidR="00CA6A8A" w:rsidRPr="00B7004A" w:rsidRDefault="00CA6A8A" w:rsidP="00197138">
            <w:pPr>
              <w:ind w:left="360"/>
              <w:rPr>
                <w:rFonts w:ascii="Calibri" w:hAnsi="Calibri" w:cs="Calibri"/>
                <w:b/>
                <w:bCs/>
              </w:rPr>
            </w:pPr>
            <w:r w:rsidRPr="00B7004A">
              <w:rPr>
                <w:rFonts w:ascii="Calibri" w:hAnsi="Calibri" w:cs="Calibri"/>
                <w:b/>
                <w:bCs/>
              </w:rPr>
              <w:t>Numerator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10ED81" w14:textId="305CD626" w:rsidR="00CA6A8A" w:rsidRPr="00B7004A" w:rsidRDefault="00CA6A8A" w:rsidP="00197138">
            <w:pPr>
              <w:ind w:left="360"/>
              <w:rPr>
                <w:rFonts w:ascii="Calibri" w:hAnsi="Calibri" w:cs="Calibri"/>
                <w:b/>
                <w:bCs/>
              </w:rPr>
            </w:pPr>
            <w:r w:rsidRPr="00B7004A">
              <w:rPr>
                <w:rFonts w:ascii="Calibri" w:hAnsi="Calibri" w:cs="Calibri"/>
                <w:b/>
                <w:bCs/>
              </w:rPr>
              <w:t>Denominator</w:t>
            </w:r>
          </w:p>
        </w:tc>
      </w:tr>
      <w:tr w:rsidR="00CA6A8A" w:rsidRPr="00B7004A" w14:paraId="4C573BA8" w14:textId="77777777" w:rsidTr="00B7004A">
        <w:trPr>
          <w:trHeight w:val="1031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DB21" w14:textId="77777777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% primary school pupils eligible for free school meals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F40E7" w14:textId="77777777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HH Government Schools, pupils and their characteristics 2023/24</w:t>
            </w:r>
          </w:p>
          <w:p w14:paraId="7109B56E" w14:textId="77777777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 xml:space="preserve">For LSOAs with missing data, the mean rates were imputed in proportion of the ratio of 0-15 to 18-64 year-olds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B994907" w14:textId="3F7FFECC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Total school pupils per state-funded primary school eligible to receive free school meals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24329" w14:textId="5A07E2EB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 xml:space="preserve">Total school pupils per state-funded primary school </w:t>
            </w:r>
          </w:p>
        </w:tc>
      </w:tr>
      <w:tr w:rsidR="00CA6A8A" w:rsidRPr="00B7004A" w14:paraId="43F1709C" w14:textId="77777777" w:rsidTr="00B7004A">
        <w:trPr>
          <w:trHeight w:val="320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B787" w14:textId="0D5ED9FB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Residential Mobility (‘churn’)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13C1B6" w14:textId="77777777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Consumer Data Research Centre (CDRC) Residential Mobility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C0F8C2" w14:textId="6F3ADE0C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Total residential moves at sample year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FB2CC5" w14:textId="429394D1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Total residential moves at index year</w:t>
            </w:r>
          </w:p>
        </w:tc>
      </w:tr>
      <w:tr w:rsidR="00CA6A8A" w:rsidRPr="00B7004A" w14:paraId="575B1D4C" w14:textId="77777777" w:rsidTr="00B7004A">
        <w:trPr>
          <w:trHeight w:val="320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02898" w14:textId="77777777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 xml:space="preserve">% lone parent households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61EE04" w14:textId="77777777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Office for National Statistics (ONS): TS003 - Household composition Census: 2021</w:t>
            </w:r>
          </w:p>
          <w:p w14:paraId="68F4DC07" w14:textId="77777777" w:rsidR="00CA6A8A" w:rsidRPr="00B7004A" w:rsidRDefault="00CA6A8A" w:rsidP="00197138">
            <w:pPr>
              <w:rPr>
                <w:rFonts w:ascii="Calibri" w:hAnsi="Calibri" w:cs="Calibri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89224A6" w14:textId="3303CFEF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Total households with one parent and dependent children per LSOA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A9F650" w14:textId="3013F45B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Total households with dependent children per LSOA</w:t>
            </w:r>
          </w:p>
        </w:tc>
      </w:tr>
      <w:tr w:rsidR="00CA6A8A" w:rsidRPr="00B7004A" w14:paraId="6C317226" w14:textId="77777777" w:rsidTr="00B7004A">
        <w:trPr>
          <w:trHeight w:val="320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55B1" w14:textId="77777777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% of private rented households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C80C3E" w14:textId="77777777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ONS: TS054 – Tenure: Census 2021</w:t>
            </w:r>
          </w:p>
          <w:p w14:paraId="348A6F0E" w14:textId="77777777" w:rsidR="00CA6A8A" w:rsidRPr="00B7004A" w:rsidRDefault="00CA6A8A" w:rsidP="00197138">
            <w:pPr>
              <w:rPr>
                <w:rFonts w:ascii="Calibri" w:hAnsi="Calibri" w:cs="Calibri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34DDFF" w14:textId="1722B710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Total households in private rented sector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D33F55" w14:textId="3A55EEF9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Total households per LSOA</w:t>
            </w:r>
          </w:p>
        </w:tc>
      </w:tr>
      <w:tr w:rsidR="00CA6A8A" w:rsidRPr="00B7004A" w14:paraId="439672FC" w14:textId="77777777" w:rsidTr="00B7004A">
        <w:trPr>
          <w:trHeight w:val="320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2F76" w14:textId="77777777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% pre-1918 properties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CB9796" w14:textId="77777777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CDRC Dwelling Ages and Prices</w:t>
            </w:r>
          </w:p>
          <w:p w14:paraId="0083278B" w14:textId="77777777" w:rsidR="00CA6A8A" w:rsidRPr="00B7004A" w:rsidRDefault="00CA6A8A" w:rsidP="00197138">
            <w:pPr>
              <w:rPr>
                <w:rFonts w:ascii="Calibri" w:hAnsi="Calibri" w:cs="Calibri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607C4EC" w14:textId="595ECCD2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Total dwelling built before 1919 per LSOA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90AF00" w14:textId="35353A3B" w:rsidR="00CA6A8A" w:rsidRPr="00B7004A" w:rsidRDefault="00CA6A8A" w:rsidP="00197138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Total dwellings per LSOA</w:t>
            </w:r>
          </w:p>
        </w:tc>
      </w:tr>
      <w:tr w:rsidR="00CA6A8A" w:rsidRPr="00B7004A" w14:paraId="1F90C1FC" w14:textId="77777777" w:rsidTr="00B7004A">
        <w:trPr>
          <w:trHeight w:val="452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73EE" w14:textId="77777777" w:rsidR="00CA6A8A" w:rsidRPr="00B7004A" w:rsidRDefault="00CA6A8A" w:rsidP="00CA6A8A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% households in fuel poverty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E14DB2" w14:textId="77777777" w:rsidR="00CA6A8A" w:rsidRPr="00B7004A" w:rsidRDefault="00CA6A8A" w:rsidP="00CA6A8A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Department for Energy Security and Net Zero (DESNZ) / Data Mill North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5EA66E" w14:textId="66E36E77" w:rsidR="00CA6A8A" w:rsidRPr="00B7004A" w:rsidRDefault="00CA6A8A" w:rsidP="00CA6A8A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Estimated total households in fuel poverty per LSOA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6E9682" w14:textId="7631995D" w:rsidR="00CA6A8A" w:rsidRPr="00B7004A" w:rsidRDefault="00CA6A8A" w:rsidP="00CA6A8A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Estimated total households per LSOA</w:t>
            </w:r>
          </w:p>
        </w:tc>
      </w:tr>
      <w:tr w:rsidR="00CA6A8A" w:rsidRPr="00B7004A" w14:paraId="01D23190" w14:textId="77777777" w:rsidTr="00B7004A">
        <w:trPr>
          <w:trHeight w:val="736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8327" w14:textId="77777777" w:rsidR="00CA6A8A" w:rsidRPr="00B7004A" w:rsidRDefault="00CA6A8A" w:rsidP="00CA6A8A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% households with dependent children by ethnic group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DCA672" w14:textId="7E5CFAD1" w:rsidR="00CA6A8A" w:rsidRPr="00B7004A" w:rsidRDefault="00CA6A8A" w:rsidP="00CA6A8A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ONS England and Wales Census 2021 - RM058: Household composition by ethnic group of Household Reference Person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CE7DF8" w14:textId="3B3EFBCC" w:rsidR="00CA6A8A" w:rsidRPr="00B7004A" w:rsidRDefault="00CA6A8A" w:rsidP="00CA6A8A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 xml:space="preserve">Total households  with dependent children in which key person is of a minority ethnic group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A4126" w14:textId="1823A06F" w:rsidR="00CA6A8A" w:rsidRPr="00B7004A" w:rsidRDefault="00CA6A8A" w:rsidP="00CA6A8A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Total households with dependent children</w:t>
            </w:r>
          </w:p>
        </w:tc>
      </w:tr>
      <w:tr w:rsidR="00CA6A8A" w:rsidRPr="00B7004A" w14:paraId="3C2B41F3" w14:textId="77777777" w:rsidTr="00B7004A">
        <w:trPr>
          <w:trHeight w:val="320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E806B" w14:textId="6CEA5A30" w:rsidR="00CA6A8A" w:rsidRPr="00B7004A" w:rsidRDefault="00CA6A8A" w:rsidP="00CA6A8A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SAMHI score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814E07" w14:textId="77777777" w:rsidR="00CA6A8A" w:rsidRPr="00B7004A" w:rsidRDefault="00CA6A8A" w:rsidP="00CA6A8A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 xml:space="preserve">PLDR: SAMHI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ED579E9" w14:textId="4A5E341F" w:rsidR="00CA6A8A" w:rsidRPr="00B7004A" w:rsidRDefault="00D1309B" w:rsidP="00CA6A8A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Various general population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B557C" w14:textId="74BE07BE" w:rsidR="00CA6A8A" w:rsidRPr="00B7004A" w:rsidRDefault="00D1309B" w:rsidP="00CA6A8A">
            <w:pPr>
              <w:ind w:left="360"/>
              <w:rPr>
                <w:rFonts w:ascii="Calibri" w:hAnsi="Calibri" w:cs="Calibri"/>
              </w:rPr>
            </w:pPr>
            <w:r w:rsidRPr="00B7004A">
              <w:rPr>
                <w:rFonts w:ascii="Calibri" w:hAnsi="Calibri" w:cs="Calibri"/>
              </w:rPr>
              <w:t>Various population subsets</w:t>
            </w:r>
          </w:p>
        </w:tc>
      </w:tr>
    </w:tbl>
    <w:p w14:paraId="4E5C9ED0" w14:textId="06F5910C" w:rsidR="00C05948" w:rsidRDefault="00C05948" w:rsidP="00F37048">
      <w:pPr>
        <w:spacing w:line="276" w:lineRule="auto"/>
        <w:rPr>
          <w:rFonts w:asciiTheme="minorHAnsi" w:eastAsia="Times New Roman" w:hAnsiTheme="minorHAnsi"/>
        </w:rPr>
      </w:pPr>
    </w:p>
    <w:p w14:paraId="432A8410" w14:textId="77777777" w:rsidR="00C05948" w:rsidRDefault="00C05948" w:rsidP="00F37048">
      <w:pPr>
        <w:spacing w:line="276" w:lineRule="auto"/>
        <w:rPr>
          <w:rFonts w:asciiTheme="minorHAnsi" w:eastAsia="Times New Roman" w:hAnsiTheme="minorHAnsi"/>
        </w:rPr>
      </w:pPr>
    </w:p>
    <w:p w14:paraId="5B77D1EC" w14:textId="77777777" w:rsidR="00C05948" w:rsidRDefault="00C05948" w:rsidP="00F37048">
      <w:pPr>
        <w:spacing w:line="276" w:lineRule="auto"/>
        <w:rPr>
          <w:rFonts w:asciiTheme="minorHAnsi" w:hAnsiTheme="minorHAnsi"/>
          <w:lang w:val="en-US"/>
        </w:rPr>
        <w:sectPr w:rsidR="00C05948" w:rsidSect="003F72C3">
          <w:headerReference w:type="default" r:id="rId12"/>
          <w:footerReference w:type="default" r:id="rId13"/>
          <w:type w:val="continuous"/>
          <w:pgSz w:w="11900" w:h="16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DD174E5" w14:textId="77777777" w:rsidR="00CA6A8A" w:rsidRDefault="00CA6A8A" w:rsidP="00F37048">
      <w:pPr>
        <w:spacing w:line="276" w:lineRule="auto"/>
        <w:rPr>
          <w:rFonts w:asciiTheme="minorHAnsi" w:hAnsiTheme="minorHAnsi"/>
          <w:b/>
          <w:color w:val="1F3864" w:themeColor="accent1" w:themeShade="80"/>
          <w:sz w:val="28"/>
          <w:szCs w:val="28"/>
          <w:lang w:val="en-US"/>
        </w:rPr>
      </w:pPr>
    </w:p>
    <w:p w14:paraId="1FF60048" w14:textId="088BFF65" w:rsidR="00F37048" w:rsidRPr="00623192" w:rsidRDefault="00F37048" w:rsidP="00F37048">
      <w:pPr>
        <w:spacing w:line="276" w:lineRule="auto"/>
        <w:rPr>
          <w:rFonts w:asciiTheme="minorHAnsi" w:hAnsiTheme="minorHAnsi"/>
          <w:b/>
          <w:color w:val="1F3864" w:themeColor="accent1" w:themeShade="80"/>
          <w:sz w:val="28"/>
          <w:szCs w:val="28"/>
          <w:lang w:val="en-US"/>
        </w:rPr>
      </w:pPr>
      <w:r w:rsidRPr="00623192">
        <w:rPr>
          <w:rFonts w:asciiTheme="minorHAnsi" w:hAnsiTheme="minorHAnsi"/>
          <w:b/>
          <w:color w:val="1F3864" w:themeColor="accent1" w:themeShade="80"/>
          <w:sz w:val="28"/>
          <w:szCs w:val="28"/>
          <w:lang w:val="en-US"/>
        </w:rPr>
        <w:t>Presentation</w:t>
      </w:r>
    </w:p>
    <w:p w14:paraId="09071555" w14:textId="77777777" w:rsidR="00C05948" w:rsidRDefault="00C05948" w:rsidP="00F37048">
      <w:pPr>
        <w:spacing w:line="276" w:lineRule="auto"/>
        <w:rPr>
          <w:rFonts w:asciiTheme="minorHAnsi" w:hAnsiTheme="minorHAnsi"/>
          <w:b/>
          <w:color w:val="1F3864" w:themeColor="accent1" w:themeShade="80"/>
          <w:lang w:val="en-US"/>
        </w:rPr>
      </w:pPr>
    </w:p>
    <w:p w14:paraId="3B758AD2" w14:textId="15CA32AF" w:rsidR="00F37048" w:rsidRPr="00623192" w:rsidRDefault="00F37048" w:rsidP="00F37048">
      <w:pPr>
        <w:spacing w:line="276" w:lineRule="auto"/>
        <w:rPr>
          <w:rFonts w:asciiTheme="minorHAnsi" w:hAnsiTheme="minorHAnsi"/>
          <w:b/>
          <w:color w:val="1F3864" w:themeColor="accent1" w:themeShade="80"/>
          <w:lang w:val="en-US"/>
        </w:rPr>
      </w:pPr>
      <w:r w:rsidRPr="00623192">
        <w:rPr>
          <w:rFonts w:asciiTheme="minorHAnsi" w:hAnsiTheme="minorHAnsi"/>
          <w:b/>
          <w:color w:val="1F3864" w:themeColor="accent1" w:themeShade="80"/>
          <w:lang w:val="en-US"/>
        </w:rPr>
        <w:lastRenderedPageBreak/>
        <w:t>Breakdowns</w:t>
      </w:r>
    </w:p>
    <w:p w14:paraId="3B1B0999" w14:textId="77777777" w:rsidR="00F37048" w:rsidRPr="00F37048" w:rsidRDefault="00F37048" w:rsidP="00F37048">
      <w:pPr>
        <w:spacing w:line="276" w:lineRule="auto"/>
        <w:rPr>
          <w:rFonts w:asciiTheme="minorHAnsi" w:hAnsiTheme="minorHAnsi"/>
          <w:lang w:val="en-US"/>
        </w:rPr>
      </w:pPr>
    </w:p>
    <w:p w14:paraId="275B6AC4" w14:textId="745968D0" w:rsidR="00F37048" w:rsidRPr="00623192" w:rsidRDefault="00F37048" w:rsidP="00F37048">
      <w:pPr>
        <w:spacing w:line="276" w:lineRule="auto"/>
        <w:rPr>
          <w:rFonts w:asciiTheme="minorHAnsi" w:hAnsiTheme="minorHAnsi"/>
          <w:color w:val="1F3864" w:themeColor="accent1" w:themeShade="80"/>
          <w:lang w:val="en-US"/>
        </w:rPr>
      </w:pPr>
      <w:r w:rsidRPr="00623192">
        <w:rPr>
          <w:rFonts w:asciiTheme="minorHAnsi" w:hAnsiTheme="minorHAnsi"/>
          <w:color w:val="1F3864" w:themeColor="accent1" w:themeShade="80"/>
          <w:lang w:val="en-US"/>
        </w:rPr>
        <w:t>Time period</w:t>
      </w:r>
    </w:p>
    <w:p w14:paraId="791B97D3" w14:textId="52265F1A" w:rsidR="00F37048" w:rsidRPr="00F37048" w:rsidRDefault="00EA030D" w:rsidP="00F37048">
      <w:pPr>
        <w:spacing w:line="276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2023</w:t>
      </w:r>
    </w:p>
    <w:p w14:paraId="5B8B1CA5" w14:textId="77777777" w:rsidR="00F37048" w:rsidRDefault="00F37048" w:rsidP="00F37048">
      <w:pPr>
        <w:spacing w:line="276" w:lineRule="auto"/>
        <w:rPr>
          <w:rFonts w:asciiTheme="minorHAnsi" w:hAnsiTheme="minorHAnsi"/>
          <w:lang w:val="en-US"/>
        </w:rPr>
      </w:pPr>
    </w:p>
    <w:p w14:paraId="329C6374" w14:textId="77777777" w:rsidR="00F37048" w:rsidRPr="00623192" w:rsidRDefault="00F37048" w:rsidP="00F37048">
      <w:pPr>
        <w:spacing w:line="276" w:lineRule="auto"/>
        <w:rPr>
          <w:rFonts w:asciiTheme="minorHAnsi" w:hAnsiTheme="minorHAnsi"/>
          <w:color w:val="1F3864" w:themeColor="accent1" w:themeShade="80"/>
          <w:lang w:val="en-US"/>
        </w:rPr>
      </w:pPr>
      <w:r w:rsidRPr="00623192">
        <w:rPr>
          <w:rFonts w:asciiTheme="minorHAnsi" w:hAnsiTheme="minorHAnsi"/>
          <w:color w:val="1F3864" w:themeColor="accent1" w:themeShade="80"/>
          <w:lang w:val="en-US"/>
        </w:rPr>
        <w:t>Demographic</w:t>
      </w:r>
    </w:p>
    <w:p w14:paraId="34A01EE6" w14:textId="0E0EC43F" w:rsidR="00F37048" w:rsidRPr="00F37048" w:rsidRDefault="00EA030D" w:rsidP="00F37048">
      <w:pPr>
        <w:spacing w:line="276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Households</w:t>
      </w:r>
    </w:p>
    <w:p w14:paraId="02D6DD75" w14:textId="77777777" w:rsidR="00F37048" w:rsidRDefault="00F37048" w:rsidP="00F37048">
      <w:pPr>
        <w:spacing w:line="276" w:lineRule="auto"/>
        <w:rPr>
          <w:rFonts w:asciiTheme="minorHAnsi" w:hAnsiTheme="minorHAnsi"/>
          <w:lang w:val="en-US"/>
        </w:rPr>
      </w:pPr>
    </w:p>
    <w:p w14:paraId="7DCE3B83" w14:textId="77777777" w:rsidR="00F37048" w:rsidRPr="00623192" w:rsidRDefault="00F37048" w:rsidP="00F37048">
      <w:pPr>
        <w:spacing w:line="276" w:lineRule="auto"/>
        <w:rPr>
          <w:rFonts w:asciiTheme="minorHAnsi" w:hAnsiTheme="minorHAnsi"/>
          <w:color w:val="1F3864" w:themeColor="accent1" w:themeShade="80"/>
          <w:lang w:val="en-US"/>
        </w:rPr>
      </w:pPr>
      <w:r w:rsidRPr="00623192">
        <w:rPr>
          <w:rFonts w:asciiTheme="minorHAnsi" w:hAnsiTheme="minorHAnsi"/>
          <w:color w:val="1F3864" w:themeColor="accent1" w:themeShade="80"/>
          <w:lang w:val="en-US"/>
        </w:rPr>
        <w:t>Geographic</w:t>
      </w:r>
    </w:p>
    <w:p w14:paraId="11248376" w14:textId="5D513AE6" w:rsidR="00F37048" w:rsidRPr="00F37048" w:rsidRDefault="00B508FA" w:rsidP="00F37048">
      <w:pPr>
        <w:spacing w:line="276" w:lineRule="auto"/>
        <w:rPr>
          <w:rFonts w:asciiTheme="minorHAnsi" w:hAnsiTheme="minorHAnsi"/>
          <w:lang w:val="en-US"/>
        </w:rPr>
      </w:pPr>
      <w:r w:rsidRPr="00B508FA">
        <w:rPr>
          <w:rFonts w:asciiTheme="minorHAnsi" w:hAnsiTheme="minorHAnsi"/>
          <w:lang w:val="en-US"/>
        </w:rPr>
        <w:t>Lower Super Output Area</w:t>
      </w:r>
      <w:r>
        <w:rPr>
          <w:rFonts w:asciiTheme="minorHAnsi" w:hAnsiTheme="minorHAnsi"/>
          <w:lang w:val="en-US"/>
        </w:rPr>
        <w:t>s</w:t>
      </w:r>
      <w:r w:rsidRPr="00B508FA">
        <w:rPr>
          <w:rFonts w:asciiTheme="minorHAnsi" w:hAnsiTheme="minorHAnsi"/>
          <w:lang w:val="en-US"/>
        </w:rPr>
        <w:t xml:space="preserve"> (LSOA) level in England</w:t>
      </w:r>
    </w:p>
    <w:p w14:paraId="07FA7A1E" w14:textId="77777777" w:rsidR="00F37048" w:rsidRDefault="00F37048" w:rsidP="00F37048">
      <w:pPr>
        <w:spacing w:line="276" w:lineRule="auto"/>
        <w:rPr>
          <w:rFonts w:asciiTheme="minorHAnsi" w:hAnsiTheme="minorHAnsi"/>
          <w:lang w:val="en-US"/>
        </w:rPr>
      </w:pPr>
    </w:p>
    <w:p w14:paraId="40D3FF90" w14:textId="77777777" w:rsidR="00F37048" w:rsidRPr="00623192" w:rsidRDefault="00F37048" w:rsidP="00F37048">
      <w:pPr>
        <w:spacing w:line="276" w:lineRule="auto"/>
        <w:rPr>
          <w:rFonts w:asciiTheme="minorHAnsi" w:hAnsiTheme="minorHAnsi"/>
          <w:color w:val="1F3864" w:themeColor="accent1" w:themeShade="80"/>
          <w:lang w:val="en-US"/>
        </w:rPr>
      </w:pPr>
      <w:r w:rsidRPr="00623192">
        <w:rPr>
          <w:rFonts w:asciiTheme="minorHAnsi" w:hAnsiTheme="minorHAnsi"/>
          <w:color w:val="1F3864" w:themeColor="accent1" w:themeShade="80"/>
          <w:lang w:val="en-US"/>
        </w:rPr>
        <w:t>Disclosure control</w:t>
      </w:r>
    </w:p>
    <w:p w14:paraId="673BD616" w14:textId="720599C8" w:rsidR="00950D65" w:rsidRDefault="00BD7010" w:rsidP="00F37048">
      <w:pPr>
        <w:spacing w:line="276" w:lineRule="auto"/>
        <w:rPr>
          <w:rFonts w:asciiTheme="minorHAnsi" w:hAnsiTheme="minorHAnsi"/>
          <w:lang w:val="en-US"/>
        </w:rPr>
      </w:pPr>
      <w:r w:rsidRPr="00BD7010">
        <w:rPr>
          <w:rFonts w:asciiTheme="minorHAnsi" w:hAnsiTheme="minorHAnsi"/>
          <w:lang w:val="en-US"/>
        </w:rPr>
        <w:t>This indicator has been produced using</w:t>
      </w:r>
      <w:r w:rsidR="0046557D">
        <w:rPr>
          <w:rFonts w:asciiTheme="minorHAnsi" w:hAnsiTheme="minorHAnsi"/>
          <w:lang w:val="en-US"/>
        </w:rPr>
        <w:t xml:space="preserve"> </w:t>
      </w:r>
      <w:r w:rsidRPr="00BD7010">
        <w:rPr>
          <w:rFonts w:asciiTheme="minorHAnsi" w:hAnsiTheme="minorHAnsi"/>
          <w:lang w:val="en-US"/>
        </w:rPr>
        <w:t>publicly available datasets.</w:t>
      </w:r>
    </w:p>
    <w:p w14:paraId="719CC256" w14:textId="3E3883AC" w:rsidR="00BD7010" w:rsidRDefault="00BD7010" w:rsidP="00F37048">
      <w:pPr>
        <w:spacing w:line="276" w:lineRule="auto"/>
        <w:rPr>
          <w:rFonts w:asciiTheme="minorHAnsi" w:hAnsiTheme="minorHAnsi"/>
          <w:lang w:val="en-US"/>
        </w:rPr>
      </w:pPr>
    </w:p>
    <w:p w14:paraId="19203A06" w14:textId="77777777" w:rsidR="004B6924" w:rsidRPr="00F37048" w:rsidRDefault="004B6924" w:rsidP="00F37048">
      <w:pPr>
        <w:spacing w:line="276" w:lineRule="auto"/>
        <w:rPr>
          <w:rFonts w:asciiTheme="minorHAnsi" w:hAnsiTheme="minorHAnsi"/>
          <w:lang w:val="en-US"/>
        </w:rPr>
      </w:pPr>
    </w:p>
    <w:p w14:paraId="65100267" w14:textId="43482012" w:rsidR="00F37048" w:rsidRPr="00623192" w:rsidRDefault="00F37048" w:rsidP="00623192">
      <w:pPr>
        <w:pBdr>
          <w:bottom w:val="single" w:sz="24" w:space="1" w:color="1F3864" w:themeColor="accent1" w:themeShade="80"/>
        </w:pBdr>
        <w:spacing w:line="276" w:lineRule="auto"/>
        <w:rPr>
          <w:rFonts w:asciiTheme="minorHAnsi" w:hAnsiTheme="minorHAnsi"/>
          <w:b/>
          <w:color w:val="1F3864" w:themeColor="accent1" w:themeShade="80"/>
          <w:sz w:val="28"/>
          <w:szCs w:val="28"/>
          <w:lang w:val="en-US"/>
        </w:rPr>
      </w:pPr>
      <w:r w:rsidRPr="00623192">
        <w:rPr>
          <w:rFonts w:asciiTheme="minorHAnsi" w:hAnsiTheme="minorHAnsi"/>
          <w:b/>
          <w:color w:val="1F3864" w:themeColor="accent1" w:themeShade="80"/>
          <w:sz w:val="28"/>
          <w:szCs w:val="28"/>
          <w:lang w:val="en-US"/>
        </w:rPr>
        <w:t xml:space="preserve">Output: </w:t>
      </w:r>
      <w:r w:rsidR="00F144A3">
        <w:rPr>
          <w:rFonts w:asciiTheme="minorHAnsi" w:hAnsiTheme="minorHAnsi"/>
          <w:b/>
          <w:color w:val="1F3864" w:themeColor="accent1" w:themeShade="80"/>
          <w:sz w:val="28"/>
          <w:szCs w:val="28"/>
          <w:lang w:val="en-US"/>
        </w:rPr>
        <w:t>FRoHII</w:t>
      </w:r>
      <w:r w:rsidR="0056008A" w:rsidRPr="0056008A">
        <w:rPr>
          <w:rFonts w:asciiTheme="minorHAnsi" w:hAnsiTheme="minorHAnsi"/>
          <w:b/>
          <w:color w:val="1F3864" w:themeColor="accent1" w:themeShade="80"/>
          <w:sz w:val="28"/>
          <w:szCs w:val="28"/>
          <w:lang w:val="en-US"/>
        </w:rPr>
        <w:t>_</w:t>
      </w:r>
      <w:r w:rsidR="00592972">
        <w:rPr>
          <w:rFonts w:asciiTheme="minorHAnsi" w:hAnsiTheme="minorHAnsi"/>
          <w:b/>
          <w:color w:val="1F3864" w:themeColor="accent1" w:themeShade="80"/>
          <w:sz w:val="28"/>
          <w:szCs w:val="28"/>
          <w:lang w:val="en-US"/>
        </w:rPr>
        <w:t>v</w:t>
      </w:r>
      <w:r w:rsidR="00F144A3">
        <w:rPr>
          <w:rFonts w:asciiTheme="minorHAnsi" w:hAnsiTheme="minorHAnsi"/>
          <w:b/>
          <w:color w:val="1F3864" w:themeColor="accent1" w:themeShade="80"/>
          <w:sz w:val="28"/>
          <w:szCs w:val="28"/>
          <w:lang w:val="en-US"/>
        </w:rPr>
        <w:t>1</w:t>
      </w:r>
      <w:r w:rsidR="00592972">
        <w:rPr>
          <w:rFonts w:asciiTheme="minorHAnsi" w:hAnsiTheme="minorHAnsi"/>
          <w:b/>
          <w:color w:val="1F3864" w:themeColor="accent1" w:themeShade="80"/>
          <w:sz w:val="28"/>
          <w:szCs w:val="28"/>
          <w:lang w:val="en-US"/>
        </w:rPr>
        <w:t>.00</w:t>
      </w:r>
      <w:r w:rsidR="0056008A" w:rsidRPr="0056008A">
        <w:rPr>
          <w:rFonts w:asciiTheme="minorHAnsi" w:hAnsiTheme="minorHAnsi"/>
          <w:b/>
          <w:color w:val="1F3864" w:themeColor="accent1" w:themeShade="80"/>
          <w:sz w:val="28"/>
          <w:szCs w:val="28"/>
          <w:lang w:val="en-US"/>
        </w:rPr>
        <w:t>_LSOA</w:t>
      </w:r>
      <w:r w:rsidR="00F46507">
        <w:rPr>
          <w:rFonts w:asciiTheme="minorHAnsi" w:hAnsiTheme="minorHAnsi"/>
          <w:b/>
          <w:color w:val="1F3864" w:themeColor="accent1" w:themeShade="80"/>
          <w:sz w:val="28"/>
          <w:szCs w:val="28"/>
          <w:lang w:val="en-US"/>
        </w:rPr>
        <w:t>.csv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2"/>
        <w:gridCol w:w="5758"/>
      </w:tblGrid>
      <w:tr w:rsidR="0004690B" w:rsidRPr="0004690B" w14:paraId="0AF1C15D" w14:textId="77777777" w:rsidTr="0048523B">
        <w:tc>
          <w:tcPr>
            <w:tcW w:w="2972" w:type="dxa"/>
          </w:tcPr>
          <w:p w14:paraId="72651F89" w14:textId="305F5871" w:rsidR="00623192" w:rsidRPr="0004690B" w:rsidRDefault="00623192" w:rsidP="00F37048">
            <w:pPr>
              <w:spacing w:line="276" w:lineRule="auto"/>
              <w:rPr>
                <w:rFonts w:asciiTheme="minorHAnsi" w:hAnsiTheme="minorHAnsi"/>
                <w:b/>
                <w:color w:val="1F3864" w:themeColor="accent1" w:themeShade="80"/>
                <w:lang w:val="en-US"/>
              </w:rPr>
            </w:pPr>
            <w:r w:rsidRPr="0004690B">
              <w:rPr>
                <w:rFonts w:asciiTheme="minorHAnsi" w:hAnsiTheme="minorHAnsi"/>
                <w:b/>
                <w:color w:val="1F3864" w:themeColor="accent1" w:themeShade="80"/>
                <w:lang w:val="en-US"/>
              </w:rPr>
              <w:t>Column name</w:t>
            </w:r>
          </w:p>
        </w:tc>
        <w:tc>
          <w:tcPr>
            <w:tcW w:w="6038" w:type="dxa"/>
          </w:tcPr>
          <w:p w14:paraId="2C77CC9F" w14:textId="3DB7C534" w:rsidR="00623192" w:rsidRPr="0004690B" w:rsidRDefault="00F46507" w:rsidP="00F37048">
            <w:pPr>
              <w:spacing w:line="276" w:lineRule="auto"/>
              <w:rPr>
                <w:rFonts w:asciiTheme="minorHAnsi" w:hAnsiTheme="minorHAnsi"/>
                <w:b/>
                <w:color w:val="1F3864" w:themeColor="accent1" w:themeShade="80"/>
                <w:lang w:val="en-US"/>
              </w:rPr>
            </w:pPr>
            <w:r w:rsidRPr="0004690B">
              <w:rPr>
                <w:rFonts w:asciiTheme="minorHAnsi" w:hAnsiTheme="minorHAnsi"/>
                <w:b/>
                <w:color w:val="1F3864" w:themeColor="accent1" w:themeShade="80"/>
                <w:lang w:val="en-US"/>
              </w:rPr>
              <w:t>Description</w:t>
            </w:r>
          </w:p>
        </w:tc>
      </w:tr>
      <w:tr w:rsidR="00623192" w14:paraId="698A0560" w14:textId="77777777" w:rsidTr="0048523B">
        <w:tc>
          <w:tcPr>
            <w:tcW w:w="2972" w:type="dxa"/>
          </w:tcPr>
          <w:p w14:paraId="7793B8D7" w14:textId="10140F62" w:rsidR="00623192" w:rsidRDefault="006F065A" w:rsidP="00F37048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lsoa2</w:t>
            </w:r>
            <w:r w:rsidR="00F26157">
              <w:rPr>
                <w:rFonts w:asciiTheme="minorHAnsi" w:hAnsiTheme="minorHAnsi"/>
                <w:lang w:val="en-US"/>
              </w:rPr>
              <w:t>1</w:t>
            </w:r>
          </w:p>
        </w:tc>
        <w:tc>
          <w:tcPr>
            <w:tcW w:w="6038" w:type="dxa"/>
          </w:tcPr>
          <w:p w14:paraId="792708D0" w14:textId="2325FED9" w:rsidR="00623192" w:rsidRDefault="002716B7" w:rsidP="00F37048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LSOA 20</w:t>
            </w:r>
            <w:r w:rsidR="006F065A">
              <w:rPr>
                <w:rFonts w:asciiTheme="minorHAnsi" w:hAnsiTheme="minorHAnsi"/>
                <w:lang w:val="en-US"/>
              </w:rPr>
              <w:t>2</w:t>
            </w:r>
            <w:r>
              <w:rPr>
                <w:rFonts w:asciiTheme="minorHAnsi" w:hAnsiTheme="minorHAnsi"/>
                <w:lang w:val="en-US"/>
              </w:rPr>
              <w:t>1 code</w:t>
            </w:r>
          </w:p>
        </w:tc>
      </w:tr>
      <w:tr w:rsidR="00623192" w14:paraId="34E7018A" w14:textId="77777777" w:rsidTr="0048523B">
        <w:tc>
          <w:tcPr>
            <w:tcW w:w="2972" w:type="dxa"/>
          </w:tcPr>
          <w:p w14:paraId="6EFD30C7" w14:textId="4D1D02D8" w:rsidR="00623192" w:rsidRDefault="00F144A3" w:rsidP="00F37048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 w:rsidRPr="00F144A3">
              <w:rPr>
                <w:rFonts w:asciiTheme="minorHAnsi" w:hAnsiTheme="minorHAnsi"/>
                <w:lang w:val="en-US"/>
              </w:rPr>
              <w:t>churn_dec</w:t>
            </w:r>
            <w:r w:rsidR="00F26157">
              <w:rPr>
                <w:rFonts w:asciiTheme="minorHAnsi" w:hAnsiTheme="minorHAnsi"/>
                <w:lang w:val="en-US"/>
              </w:rPr>
              <w:t>ile</w:t>
            </w:r>
          </w:p>
        </w:tc>
        <w:tc>
          <w:tcPr>
            <w:tcW w:w="6038" w:type="dxa"/>
          </w:tcPr>
          <w:p w14:paraId="02453AA2" w14:textId="7A0FB45D" w:rsidR="00623192" w:rsidRDefault="00A46525" w:rsidP="00F37048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Residential Mobility (‘churn’) decile</w:t>
            </w:r>
            <w:r w:rsidR="00F2534B">
              <w:rPr>
                <w:rFonts w:asciiTheme="minorHAnsi" w:hAnsiTheme="minorHAnsi"/>
                <w:lang w:val="en-US"/>
              </w:rPr>
              <w:t xml:space="preserve"> in 2023</w:t>
            </w:r>
          </w:p>
        </w:tc>
      </w:tr>
      <w:tr w:rsidR="00623192" w14:paraId="22137457" w14:textId="77777777" w:rsidTr="0048523B">
        <w:tc>
          <w:tcPr>
            <w:tcW w:w="2972" w:type="dxa"/>
          </w:tcPr>
          <w:p w14:paraId="1D32D6D1" w14:textId="5AB648AD" w:rsidR="00623192" w:rsidRDefault="00F26157" w:rsidP="00F37048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IDACI_2019</w:t>
            </w:r>
            <w:r w:rsidR="00F144A3" w:rsidRPr="00F144A3">
              <w:rPr>
                <w:rFonts w:asciiTheme="minorHAnsi" w:hAnsiTheme="minorHAnsi"/>
                <w:lang w:val="en-US"/>
              </w:rPr>
              <w:t>_dec</w:t>
            </w:r>
            <w:r>
              <w:rPr>
                <w:rFonts w:asciiTheme="minorHAnsi" w:hAnsiTheme="minorHAnsi"/>
                <w:lang w:val="en-US"/>
              </w:rPr>
              <w:t>ile</w:t>
            </w:r>
          </w:p>
        </w:tc>
        <w:tc>
          <w:tcPr>
            <w:tcW w:w="6038" w:type="dxa"/>
          </w:tcPr>
          <w:p w14:paraId="4267C593" w14:textId="7F181772" w:rsidR="00623192" w:rsidRDefault="00A46525" w:rsidP="00F37048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Income Deprivation Affecting Children (IDACI) </w:t>
            </w:r>
            <w:r w:rsidR="00F2534B">
              <w:rPr>
                <w:rFonts w:asciiTheme="minorHAnsi" w:hAnsiTheme="minorHAnsi"/>
                <w:lang w:val="en-US"/>
              </w:rPr>
              <w:t xml:space="preserve">2019 </w:t>
            </w:r>
            <w:r>
              <w:rPr>
                <w:rFonts w:asciiTheme="minorHAnsi" w:hAnsiTheme="minorHAnsi"/>
                <w:lang w:val="en-US"/>
              </w:rPr>
              <w:t>decile</w:t>
            </w:r>
          </w:p>
        </w:tc>
      </w:tr>
      <w:tr w:rsidR="004D7835" w14:paraId="1F41AC7E" w14:textId="77777777" w:rsidTr="0048523B">
        <w:tc>
          <w:tcPr>
            <w:tcW w:w="2972" w:type="dxa"/>
          </w:tcPr>
          <w:p w14:paraId="5F630293" w14:textId="61DBBB61" w:rsidR="004D7835" w:rsidRDefault="00F26157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FSM_</w:t>
            </w:r>
            <w:r w:rsidR="00F144A3" w:rsidRPr="00F144A3">
              <w:rPr>
                <w:rFonts w:asciiTheme="minorHAnsi" w:hAnsiTheme="minorHAnsi"/>
                <w:lang w:val="en-US"/>
              </w:rPr>
              <w:t>2024_imputed_</w:t>
            </w:r>
            <w:r>
              <w:rPr>
                <w:rFonts w:asciiTheme="minorHAnsi" w:hAnsiTheme="minorHAnsi"/>
                <w:lang w:val="en-US"/>
              </w:rPr>
              <w:t>mean</w:t>
            </w:r>
          </w:p>
        </w:tc>
        <w:tc>
          <w:tcPr>
            <w:tcW w:w="6038" w:type="dxa"/>
          </w:tcPr>
          <w:p w14:paraId="74669A7D" w14:textId="42E3A279" w:rsidR="004D7835" w:rsidRDefault="00A46525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Eligibility for Free School Meals (imputed means for missing data), percentage</w:t>
            </w:r>
            <w:r w:rsidR="00F2534B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of primary school-age children</w:t>
            </w:r>
            <w:r w:rsidR="00F2534B">
              <w:rPr>
                <w:rFonts w:asciiTheme="minorHAnsi" w:hAnsiTheme="minorHAnsi"/>
                <w:lang w:val="en-US"/>
              </w:rPr>
              <w:t xml:space="preserve"> in 2023-2024</w:t>
            </w:r>
          </w:p>
        </w:tc>
      </w:tr>
      <w:tr w:rsidR="004D7835" w14:paraId="050694A1" w14:textId="77777777" w:rsidTr="0048523B">
        <w:tc>
          <w:tcPr>
            <w:tcW w:w="2972" w:type="dxa"/>
          </w:tcPr>
          <w:p w14:paraId="358313A6" w14:textId="1BC792B8" w:rsidR="004D7835" w:rsidRDefault="00F144A3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 w:rsidRPr="00F144A3">
              <w:rPr>
                <w:rFonts w:asciiTheme="minorHAnsi" w:hAnsiTheme="minorHAnsi"/>
                <w:lang w:val="en-US"/>
              </w:rPr>
              <w:t>households_fuel_poverty_p</w:t>
            </w:r>
            <w:r w:rsidR="00F26157">
              <w:rPr>
                <w:rFonts w:asciiTheme="minorHAnsi" w:hAnsiTheme="minorHAnsi"/>
                <w:lang w:val="en-US"/>
              </w:rPr>
              <w:t>er</w:t>
            </w:r>
            <w:r w:rsidRPr="00F144A3">
              <w:rPr>
                <w:rFonts w:asciiTheme="minorHAnsi" w:hAnsiTheme="minorHAnsi"/>
                <w:lang w:val="en-US"/>
              </w:rPr>
              <w:t>c</w:t>
            </w:r>
          </w:p>
        </w:tc>
        <w:tc>
          <w:tcPr>
            <w:tcW w:w="6038" w:type="dxa"/>
          </w:tcPr>
          <w:p w14:paraId="009591CA" w14:textId="14E1A032" w:rsidR="004D7835" w:rsidRDefault="00A46525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Estimated percentage of households in fuel poverty</w:t>
            </w:r>
            <w:r w:rsidR="00F2534B">
              <w:rPr>
                <w:rFonts w:asciiTheme="minorHAnsi" w:hAnsiTheme="minorHAnsi"/>
                <w:lang w:val="en-US"/>
              </w:rPr>
              <w:t xml:space="preserve"> in 2024</w:t>
            </w:r>
          </w:p>
        </w:tc>
      </w:tr>
      <w:tr w:rsidR="004D7835" w14:paraId="583BB084" w14:textId="77777777" w:rsidTr="0048523B">
        <w:trPr>
          <w:trHeight w:val="314"/>
        </w:trPr>
        <w:tc>
          <w:tcPr>
            <w:tcW w:w="2972" w:type="dxa"/>
          </w:tcPr>
          <w:p w14:paraId="4FB37C81" w14:textId="5B8754F2" w:rsidR="004D7835" w:rsidRDefault="00F144A3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 w:rsidRPr="00F144A3">
              <w:rPr>
                <w:rFonts w:asciiTheme="minorHAnsi" w:hAnsiTheme="minorHAnsi"/>
                <w:lang w:val="en-US"/>
              </w:rPr>
              <w:t>child</w:t>
            </w:r>
            <w:r w:rsidR="00F26157">
              <w:rPr>
                <w:rFonts w:asciiTheme="minorHAnsi" w:hAnsiTheme="minorHAnsi"/>
                <w:lang w:val="en-US"/>
              </w:rPr>
              <w:t>ren</w:t>
            </w:r>
            <w:r w:rsidRPr="00F144A3">
              <w:rPr>
                <w:rFonts w:asciiTheme="minorHAnsi" w:hAnsiTheme="minorHAnsi"/>
                <w:lang w:val="en-US"/>
              </w:rPr>
              <w:t>_h</w:t>
            </w:r>
            <w:r w:rsidR="00F26157">
              <w:rPr>
                <w:rFonts w:asciiTheme="minorHAnsi" w:hAnsiTheme="minorHAnsi"/>
                <w:lang w:val="en-US"/>
              </w:rPr>
              <w:t>ouseholds</w:t>
            </w:r>
            <w:r w:rsidRPr="00F144A3">
              <w:rPr>
                <w:rFonts w:asciiTheme="minorHAnsi" w:hAnsiTheme="minorHAnsi"/>
                <w:lang w:val="en-US"/>
              </w:rPr>
              <w:t>_perc</w:t>
            </w:r>
          </w:p>
        </w:tc>
        <w:tc>
          <w:tcPr>
            <w:tcW w:w="6038" w:type="dxa"/>
          </w:tcPr>
          <w:p w14:paraId="33BC41F9" w14:textId="086BBE56" w:rsidR="004D7835" w:rsidRDefault="00A46525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Percentage of households with dependent 0-15 year-olds</w:t>
            </w:r>
            <w:r w:rsidR="00F2534B">
              <w:rPr>
                <w:rFonts w:asciiTheme="minorHAnsi" w:hAnsiTheme="minorHAnsi"/>
                <w:lang w:val="en-US"/>
              </w:rPr>
              <w:t xml:space="preserve"> in 2021</w:t>
            </w:r>
          </w:p>
        </w:tc>
      </w:tr>
      <w:tr w:rsidR="004D7835" w14:paraId="09B88897" w14:textId="77777777" w:rsidTr="0048523B">
        <w:trPr>
          <w:trHeight w:val="296"/>
        </w:trPr>
        <w:tc>
          <w:tcPr>
            <w:tcW w:w="2972" w:type="dxa"/>
          </w:tcPr>
          <w:p w14:paraId="0CAD40CD" w14:textId="4868C0F5" w:rsidR="004D7835" w:rsidRDefault="00F144A3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 w:rsidRPr="00F144A3">
              <w:rPr>
                <w:rFonts w:asciiTheme="minorHAnsi" w:hAnsiTheme="minorHAnsi"/>
                <w:lang w:val="en-US"/>
              </w:rPr>
              <w:t>lone_parent_h</w:t>
            </w:r>
            <w:r w:rsidR="00F26157">
              <w:rPr>
                <w:rFonts w:asciiTheme="minorHAnsi" w:hAnsiTheme="minorHAnsi"/>
                <w:lang w:val="en-US"/>
              </w:rPr>
              <w:t>ouseholds</w:t>
            </w:r>
            <w:r w:rsidRPr="00F144A3">
              <w:rPr>
                <w:rFonts w:asciiTheme="minorHAnsi" w:hAnsiTheme="minorHAnsi"/>
                <w:lang w:val="en-US"/>
              </w:rPr>
              <w:t>_perc</w:t>
            </w:r>
          </w:p>
        </w:tc>
        <w:tc>
          <w:tcPr>
            <w:tcW w:w="6038" w:type="dxa"/>
          </w:tcPr>
          <w:p w14:paraId="6D9BB696" w14:textId="091EFE87" w:rsidR="004D7835" w:rsidRDefault="00A46525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Percentage of households with lone parents and dependent children</w:t>
            </w:r>
            <w:r w:rsidR="00F2534B">
              <w:rPr>
                <w:rFonts w:asciiTheme="minorHAnsi" w:hAnsiTheme="minorHAnsi"/>
                <w:lang w:val="en-US"/>
              </w:rPr>
              <w:t xml:space="preserve"> in 2021</w:t>
            </w:r>
          </w:p>
        </w:tc>
      </w:tr>
      <w:tr w:rsidR="004D7835" w14:paraId="6AF402F6" w14:textId="77777777" w:rsidTr="0048523B">
        <w:trPr>
          <w:trHeight w:val="296"/>
        </w:trPr>
        <w:tc>
          <w:tcPr>
            <w:tcW w:w="2972" w:type="dxa"/>
          </w:tcPr>
          <w:p w14:paraId="497ED924" w14:textId="2FB1E96D" w:rsidR="004D7835" w:rsidRDefault="00F144A3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 w:rsidRPr="00F144A3">
              <w:rPr>
                <w:rFonts w:asciiTheme="minorHAnsi" w:hAnsiTheme="minorHAnsi"/>
                <w:lang w:val="en-US"/>
              </w:rPr>
              <w:t>pre_191</w:t>
            </w:r>
            <w:r w:rsidR="00F26157">
              <w:rPr>
                <w:rFonts w:asciiTheme="minorHAnsi" w:hAnsiTheme="minorHAnsi"/>
                <w:lang w:val="en-US"/>
              </w:rPr>
              <w:t>9</w:t>
            </w:r>
            <w:r w:rsidRPr="00F144A3">
              <w:rPr>
                <w:rFonts w:asciiTheme="minorHAnsi" w:hAnsiTheme="minorHAnsi"/>
                <w:lang w:val="en-US"/>
              </w:rPr>
              <w:t>_p</w:t>
            </w:r>
            <w:r w:rsidR="00F26157">
              <w:rPr>
                <w:rFonts w:asciiTheme="minorHAnsi" w:hAnsiTheme="minorHAnsi"/>
                <w:lang w:val="en-US"/>
              </w:rPr>
              <w:t>er</w:t>
            </w:r>
            <w:r w:rsidRPr="00F144A3">
              <w:rPr>
                <w:rFonts w:asciiTheme="minorHAnsi" w:hAnsiTheme="minorHAnsi"/>
                <w:lang w:val="en-US"/>
              </w:rPr>
              <w:t>c</w:t>
            </w:r>
          </w:p>
        </w:tc>
        <w:tc>
          <w:tcPr>
            <w:tcW w:w="6038" w:type="dxa"/>
          </w:tcPr>
          <w:p w14:paraId="225D28D4" w14:textId="5A4B3FE3" w:rsidR="004D7835" w:rsidRDefault="00A46525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Percentage of dwellings built before 1919</w:t>
            </w:r>
          </w:p>
        </w:tc>
      </w:tr>
      <w:tr w:rsidR="004D7835" w14:paraId="61670DE2" w14:textId="77777777" w:rsidTr="0048523B">
        <w:trPr>
          <w:trHeight w:val="296"/>
        </w:trPr>
        <w:tc>
          <w:tcPr>
            <w:tcW w:w="2972" w:type="dxa"/>
          </w:tcPr>
          <w:p w14:paraId="2BD1A5BE" w14:textId="661FC9BB" w:rsidR="004D7835" w:rsidRDefault="00F26157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BAME</w:t>
            </w:r>
            <w:r w:rsidR="00F144A3" w:rsidRPr="00F144A3">
              <w:rPr>
                <w:rFonts w:asciiTheme="minorHAnsi" w:hAnsiTheme="minorHAnsi"/>
                <w:lang w:val="en-US"/>
              </w:rPr>
              <w:t>_h</w:t>
            </w:r>
            <w:r>
              <w:rPr>
                <w:rFonts w:asciiTheme="minorHAnsi" w:hAnsiTheme="minorHAnsi"/>
                <w:lang w:val="en-US"/>
              </w:rPr>
              <w:t>ouseholds</w:t>
            </w:r>
          </w:p>
        </w:tc>
        <w:tc>
          <w:tcPr>
            <w:tcW w:w="6038" w:type="dxa"/>
          </w:tcPr>
          <w:p w14:paraId="24D02D50" w14:textId="1224735E" w:rsidR="004D7835" w:rsidRDefault="00A46525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Percentage of households in which key person is of minority ethnic group</w:t>
            </w:r>
            <w:r w:rsidR="00F2534B">
              <w:rPr>
                <w:rFonts w:asciiTheme="minorHAnsi" w:hAnsiTheme="minorHAnsi"/>
                <w:lang w:val="en-US"/>
              </w:rPr>
              <w:t xml:space="preserve"> in 2021</w:t>
            </w:r>
          </w:p>
        </w:tc>
      </w:tr>
      <w:tr w:rsidR="004D7835" w14:paraId="0B0C43CC" w14:textId="77777777" w:rsidTr="0048523B">
        <w:trPr>
          <w:trHeight w:val="296"/>
        </w:trPr>
        <w:tc>
          <w:tcPr>
            <w:tcW w:w="2972" w:type="dxa"/>
          </w:tcPr>
          <w:p w14:paraId="587E3F70" w14:textId="4502A04C" w:rsidR="004D7835" w:rsidRPr="004D7835" w:rsidRDefault="00F144A3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 w:rsidRPr="00F144A3">
              <w:rPr>
                <w:rFonts w:asciiTheme="minorHAnsi" w:hAnsiTheme="minorHAnsi"/>
                <w:lang w:val="en-US"/>
              </w:rPr>
              <w:t>samhi_dec</w:t>
            </w:r>
            <w:r w:rsidR="00F26157">
              <w:rPr>
                <w:rFonts w:asciiTheme="minorHAnsi" w:hAnsiTheme="minorHAnsi"/>
                <w:lang w:val="en-US"/>
              </w:rPr>
              <w:t>ile</w:t>
            </w:r>
          </w:p>
        </w:tc>
        <w:tc>
          <w:tcPr>
            <w:tcW w:w="6038" w:type="dxa"/>
          </w:tcPr>
          <w:p w14:paraId="7E548200" w14:textId="646461EA" w:rsidR="004D7835" w:rsidRDefault="00A46525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Mental Health (SAMHI) decile (1=worst mental health)</w:t>
            </w:r>
            <w:r w:rsidR="00F2534B">
              <w:rPr>
                <w:rFonts w:asciiTheme="minorHAnsi" w:hAnsiTheme="minorHAnsi"/>
                <w:lang w:val="en-US"/>
              </w:rPr>
              <w:t xml:space="preserve"> in 2022</w:t>
            </w:r>
          </w:p>
        </w:tc>
      </w:tr>
      <w:tr w:rsidR="00F144A3" w14:paraId="2097D399" w14:textId="77777777" w:rsidTr="0048523B">
        <w:trPr>
          <w:trHeight w:val="296"/>
        </w:trPr>
        <w:tc>
          <w:tcPr>
            <w:tcW w:w="2972" w:type="dxa"/>
          </w:tcPr>
          <w:p w14:paraId="3999B423" w14:textId="66D3ACBF" w:rsidR="00F144A3" w:rsidRPr="00F144A3" w:rsidRDefault="00F144A3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 w:rsidRPr="00F144A3">
              <w:rPr>
                <w:rFonts w:asciiTheme="minorHAnsi" w:hAnsiTheme="minorHAnsi"/>
                <w:lang w:val="en-US"/>
              </w:rPr>
              <w:t>risk_score</w:t>
            </w:r>
          </w:p>
        </w:tc>
        <w:tc>
          <w:tcPr>
            <w:tcW w:w="6038" w:type="dxa"/>
          </w:tcPr>
          <w:p w14:paraId="58A08193" w14:textId="4F71E770" w:rsidR="00F144A3" w:rsidRDefault="00A46525" w:rsidP="004D7835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Risk score calculated from weighted metrics</w:t>
            </w:r>
          </w:p>
        </w:tc>
      </w:tr>
    </w:tbl>
    <w:p w14:paraId="529E2005" w14:textId="249B898E" w:rsidR="00623192" w:rsidRDefault="00623192" w:rsidP="00F37048">
      <w:pPr>
        <w:spacing w:line="276" w:lineRule="auto"/>
        <w:rPr>
          <w:rFonts w:asciiTheme="minorHAnsi" w:hAnsiTheme="minorHAnsi"/>
          <w:lang w:val="en-US"/>
        </w:rPr>
      </w:pPr>
    </w:p>
    <w:p w14:paraId="7DF8C4C7" w14:textId="4BA20F56" w:rsidR="004B6924" w:rsidRDefault="004B6924" w:rsidP="00F37048">
      <w:pPr>
        <w:spacing w:line="276" w:lineRule="auto"/>
        <w:rPr>
          <w:rFonts w:asciiTheme="minorHAnsi" w:hAnsiTheme="minorHAnsi"/>
          <w:lang w:val="en-US"/>
        </w:rPr>
      </w:pPr>
    </w:p>
    <w:p w14:paraId="233338A0" w14:textId="7F10188E" w:rsidR="004B6924" w:rsidRDefault="004B6924" w:rsidP="00F37048">
      <w:pPr>
        <w:spacing w:line="276" w:lineRule="auto"/>
        <w:rPr>
          <w:rFonts w:asciiTheme="minorHAnsi" w:hAnsiTheme="minorHAnsi"/>
          <w:lang w:val="en-US"/>
        </w:rPr>
      </w:pPr>
    </w:p>
    <w:p w14:paraId="278AF5E6" w14:textId="19084B34" w:rsidR="004B6924" w:rsidRDefault="004B6924" w:rsidP="00F37048">
      <w:pPr>
        <w:spacing w:line="276" w:lineRule="auto"/>
        <w:rPr>
          <w:rFonts w:asciiTheme="minorHAnsi" w:hAnsiTheme="minorHAnsi"/>
          <w:lang w:val="en-US"/>
        </w:rPr>
      </w:pPr>
    </w:p>
    <w:p w14:paraId="40CC281B" w14:textId="732B6F85" w:rsidR="004B6924" w:rsidRDefault="004B6924" w:rsidP="00F37048">
      <w:pPr>
        <w:spacing w:line="276" w:lineRule="auto"/>
        <w:rPr>
          <w:rFonts w:asciiTheme="minorHAnsi" w:hAnsiTheme="minorHAnsi"/>
          <w:lang w:val="en-US"/>
        </w:rPr>
      </w:pPr>
    </w:p>
    <w:p w14:paraId="646227BE" w14:textId="77777777" w:rsidR="004B6924" w:rsidRDefault="004B6924" w:rsidP="00F37048">
      <w:pPr>
        <w:spacing w:line="276" w:lineRule="auto"/>
        <w:rPr>
          <w:rFonts w:asciiTheme="minorHAnsi" w:hAnsiTheme="minorHAnsi"/>
          <w:lang w:val="en-US"/>
        </w:rPr>
      </w:pPr>
    </w:p>
    <w:p w14:paraId="183B90A5" w14:textId="7744F48A" w:rsidR="0004690B" w:rsidRPr="0004690B" w:rsidRDefault="0004690B" w:rsidP="0004690B">
      <w:pPr>
        <w:pBdr>
          <w:bottom w:val="single" w:sz="24" w:space="1" w:color="1F3864" w:themeColor="accent1" w:themeShade="80"/>
        </w:pBdr>
        <w:spacing w:line="276" w:lineRule="auto"/>
        <w:rPr>
          <w:rFonts w:asciiTheme="minorHAnsi" w:hAnsiTheme="minorHAnsi"/>
          <w:b/>
          <w:color w:val="1F3864" w:themeColor="accent1" w:themeShade="80"/>
          <w:sz w:val="28"/>
          <w:szCs w:val="28"/>
          <w:lang w:val="en-US"/>
        </w:rPr>
      </w:pPr>
      <w:r w:rsidRPr="0004690B">
        <w:rPr>
          <w:rFonts w:asciiTheme="minorHAnsi" w:hAnsiTheme="minorHAnsi"/>
          <w:b/>
          <w:color w:val="1F3864" w:themeColor="accent1" w:themeShade="80"/>
          <w:sz w:val="28"/>
          <w:szCs w:val="28"/>
          <w:lang w:val="en-US"/>
        </w:rPr>
        <w:t>Revision history</w:t>
      </w:r>
    </w:p>
    <w:tbl>
      <w:tblPr>
        <w:tblStyle w:val="TableGrid"/>
        <w:tblW w:w="9246" w:type="dxa"/>
        <w:tblLook w:val="04A0" w:firstRow="1" w:lastRow="0" w:firstColumn="1" w:lastColumn="0" w:noHBand="0" w:noVBand="1"/>
      </w:tblPr>
      <w:tblGrid>
        <w:gridCol w:w="988"/>
        <w:gridCol w:w="1228"/>
        <w:gridCol w:w="7030"/>
      </w:tblGrid>
      <w:tr w:rsidR="0004690B" w:rsidRPr="0004690B" w14:paraId="4A47F840" w14:textId="77777777" w:rsidTr="007E1B40">
        <w:tc>
          <w:tcPr>
            <w:tcW w:w="988" w:type="dxa"/>
          </w:tcPr>
          <w:p w14:paraId="11F6EEA3" w14:textId="6D0AE8E8" w:rsidR="0004690B" w:rsidRPr="0004690B" w:rsidRDefault="0004690B" w:rsidP="00F37048">
            <w:pPr>
              <w:spacing w:line="276" w:lineRule="auto"/>
              <w:rPr>
                <w:rFonts w:asciiTheme="minorHAnsi" w:hAnsiTheme="minorHAnsi"/>
                <w:b/>
                <w:color w:val="1F3864" w:themeColor="accent1" w:themeShade="80"/>
                <w:lang w:val="en-US"/>
              </w:rPr>
            </w:pPr>
            <w:r w:rsidRPr="0004690B">
              <w:rPr>
                <w:rFonts w:asciiTheme="minorHAnsi" w:hAnsiTheme="minorHAnsi"/>
                <w:b/>
                <w:color w:val="1F3864" w:themeColor="accent1" w:themeShade="80"/>
                <w:lang w:val="en-US"/>
              </w:rPr>
              <w:t>Version</w:t>
            </w:r>
          </w:p>
        </w:tc>
        <w:tc>
          <w:tcPr>
            <w:tcW w:w="1228" w:type="dxa"/>
          </w:tcPr>
          <w:p w14:paraId="492D903F" w14:textId="5695F208" w:rsidR="0004690B" w:rsidRPr="0004690B" w:rsidRDefault="0004690B" w:rsidP="00F37048">
            <w:pPr>
              <w:spacing w:line="276" w:lineRule="auto"/>
              <w:rPr>
                <w:rFonts w:asciiTheme="minorHAnsi" w:hAnsiTheme="minorHAnsi"/>
                <w:b/>
                <w:color w:val="1F3864" w:themeColor="accent1" w:themeShade="80"/>
                <w:lang w:val="en-US"/>
              </w:rPr>
            </w:pPr>
            <w:r w:rsidRPr="0004690B">
              <w:rPr>
                <w:rFonts w:asciiTheme="minorHAnsi" w:hAnsiTheme="minorHAnsi"/>
                <w:b/>
                <w:color w:val="1F3864" w:themeColor="accent1" w:themeShade="80"/>
                <w:lang w:val="en-US"/>
              </w:rPr>
              <w:t>Date</w:t>
            </w:r>
          </w:p>
        </w:tc>
        <w:tc>
          <w:tcPr>
            <w:tcW w:w="7030" w:type="dxa"/>
          </w:tcPr>
          <w:p w14:paraId="7403A117" w14:textId="51731085" w:rsidR="0004690B" w:rsidRPr="0004690B" w:rsidRDefault="0004690B" w:rsidP="00F37048">
            <w:pPr>
              <w:spacing w:line="276" w:lineRule="auto"/>
              <w:rPr>
                <w:rFonts w:asciiTheme="minorHAnsi" w:hAnsiTheme="minorHAnsi"/>
                <w:b/>
                <w:color w:val="1F3864" w:themeColor="accent1" w:themeShade="80"/>
                <w:lang w:val="en-US"/>
              </w:rPr>
            </w:pPr>
            <w:r w:rsidRPr="0004690B">
              <w:rPr>
                <w:rFonts w:asciiTheme="minorHAnsi" w:hAnsiTheme="minorHAnsi"/>
                <w:b/>
                <w:color w:val="1F3864" w:themeColor="accent1" w:themeShade="80"/>
                <w:lang w:val="en-US"/>
              </w:rPr>
              <w:t>Summary of changes</w:t>
            </w:r>
          </w:p>
        </w:tc>
      </w:tr>
      <w:tr w:rsidR="00603272" w:rsidRPr="00603272" w14:paraId="6228D3D1" w14:textId="77777777" w:rsidTr="007E1B40">
        <w:tc>
          <w:tcPr>
            <w:tcW w:w="988" w:type="dxa"/>
          </w:tcPr>
          <w:p w14:paraId="4D3AD0E6" w14:textId="5B38EC90" w:rsidR="00603272" w:rsidRPr="00603272" w:rsidRDefault="00603272" w:rsidP="00F37048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 w:rsidRPr="00603272">
              <w:rPr>
                <w:rFonts w:asciiTheme="minorHAnsi" w:hAnsiTheme="minorHAnsi"/>
                <w:lang w:val="en-US"/>
              </w:rPr>
              <w:t>1.01</w:t>
            </w:r>
          </w:p>
        </w:tc>
        <w:tc>
          <w:tcPr>
            <w:tcW w:w="1228" w:type="dxa"/>
          </w:tcPr>
          <w:p w14:paraId="646CE9DC" w14:textId="31E778C5" w:rsidR="00603272" w:rsidRPr="00603272" w:rsidRDefault="00603272" w:rsidP="00F37048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 w:rsidRPr="00603272">
              <w:rPr>
                <w:rFonts w:asciiTheme="minorHAnsi" w:hAnsiTheme="minorHAnsi"/>
                <w:lang w:val="en-US"/>
              </w:rPr>
              <w:t>March 2025</w:t>
            </w:r>
          </w:p>
        </w:tc>
        <w:tc>
          <w:tcPr>
            <w:tcW w:w="7030" w:type="dxa"/>
          </w:tcPr>
          <w:p w14:paraId="545DD76D" w14:textId="0C44FA3B" w:rsidR="00603272" w:rsidRPr="00603272" w:rsidRDefault="00603272" w:rsidP="00603272">
            <w:pPr>
              <w:spacing w:line="276" w:lineRule="auto"/>
              <w:rPr>
                <w:rFonts w:asciiTheme="minorHAnsi" w:hAnsiTheme="minorHAnsi"/>
              </w:rPr>
            </w:pPr>
            <w:r w:rsidRPr="00603272">
              <w:rPr>
                <w:rFonts w:asciiTheme="minorHAnsi" w:hAnsiTheme="minorHAnsi"/>
              </w:rPr>
              <w:t>LSOAs with NA values have ‘No data’ instead of ‘0 risk’.</w:t>
            </w:r>
          </w:p>
          <w:p w14:paraId="415482C0" w14:textId="77777777" w:rsidR="00603272" w:rsidRPr="00603272" w:rsidRDefault="00603272" w:rsidP="00F37048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04690B" w14:paraId="5BFF5273" w14:textId="77777777" w:rsidTr="007E1B40">
        <w:tc>
          <w:tcPr>
            <w:tcW w:w="988" w:type="dxa"/>
          </w:tcPr>
          <w:p w14:paraId="460B83B2" w14:textId="7DE2891E" w:rsidR="0004690B" w:rsidRDefault="0004690B" w:rsidP="00F37048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1.0</w:t>
            </w:r>
            <w:r w:rsidR="00487B82">
              <w:rPr>
                <w:rFonts w:asciiTheme="minorHAnsi" w:hAnsiTheme="minorHAnsi"/>
                <w:lang w:val="en-US"/>
              </w:rPr>
              <w:t>0</w:t>
            </w:r>
          </w:p>
        </w:tc>
        <w:tc>
          <w:tcPr>
            <w:tcW w:w="1228" w:type="dxa"/>
          </w:tcPr>
          <w:p w14:paraId="42C81257" w14:textId="7ABFA261" w:rsidR="0004690B" w:rsidRDefault="00EA030D" w:rsidP="00F37048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March 2025</w:t>
            </w:r>
          </w:p>
        </w:tc>
        <w:tc>
          <w:tcPr>
            <w:tcW w:w="7030" w:type="dxa"/>
          </w:tcPr>
          <w:p w14:paraId="107462CF" w14:textId="2B62963A" w:rsidR="0004690B" w:rsidRDefault="0004690B" w:rsidP="00F37048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First release</w:t>
            </w:r>
          </w:p>
        </w:tc>
      </w:tr>
    </w:tbl>
    <w:p w14:paraId="4028C61C" w14:textId="37827E5E" w:rsidR="0004690B" w:rsidRPr="002C71D1" w:rsidRDefault="0004690B" w:rsidP="00791B7E">
      <w:pPr>
        <w:spacing w:line="276" w:lineRule="auto"/>
        <w:rPr>
          <w:rFonts w:asciiTheme="minorHAnsi" w:hAnsiTheme="minorHAnsi"/>
        </w:rPr>
      </w:pPr>
    </w:p>
    <w:sectPr w:rsidR="0004690B" w:rsidRPr="002C71D1" w:rsidSect="00B52196">
      <w:type w:val="continuous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7242" w14:textId="77777777" w:rsidR="00AC4968" w:rsidRDefault="00AC4968" w:rsidP="001D6460">
      <w:r>
        <w:separator/>
      </w:r>
    </w:p>
  </w:endnote>
  <w:endnote w:type="continuationSeparator" w:id="0">
    <w:p w14:paraId="14A28EF9" w14:textId="77777777" w:rsidR="00AC4968" w:rsidRDefault="00AC4968" w:rsidP="001D6460">
      <w:r>
        <w:continuationSeparator/>
      </w:r>
    </w:p>
  </w:endnote>
  <w:endnote w:type="continuationNotice" w:id="1">
    <w:p w14:paraId="120E6E72" w14:textId="77777777" w:rsidR="00AC4968" w:rsidRDefault="00AC4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719199"/>
      <w:docPartObj>
        <w:docPartGallery w:val="Page Numbers (Bottom of Page)"/>
        <w:docPartUnique/>
      </w:docPartObj>
    </w:sdtPr>
    <w:sdtEndPr>
      <w:rPr>
        <w:color w:val="002060"/>
        <w:spacing w:val="60"/>
        <w:sz w:val="20"/>
        <w:szCs w:val="20"/>
      </w:rPr>
    </w:sdtEndPr>
    <w:sdtContent>
      <w:p w14:paraId="2B4F6292" w14:textId="5813590C" w:rsidR="00487B82" w:rsidRPr="00487B82" w:rsidRDefault="00487B8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002060"/>
            <w:sz w:val="20"/>
            <w:szCs w:val="20"/>
          </w:rPr>
        </w:pPr>
        <w:r w:rsidRPr="00487B82">
          <w:rPr>
            <w:b/>
            <w:color w:val="002060"/>
            <w:sz w:val="20"/>
            <w:szCs w:val="20"/>
          </w:rPr>
          <w:fldChar w:fldCharType="begin"/>
        </w:r>
        <w:r w:rsidRPr="00487B82">
          <w:rPr>
            <w:b/>
            <w:color w:val="002060"/>
            <w:sz w:val="20"/>
            <w:szCs w:val="20"/>
          </w:rPr>
          <w:instrText xml:space="preserve"> PAGE   \* MERGEFORMAT </w:instrText>
        </w:r>
        <w:r w:rsidRPr="00487B82">
          <w:rPr>
            <w:b/>
            <w:color w:val="002060"/>
            <w:sz w:val="20"/>
            <w:szCs w:val="20"/>
          </w:rPr>
          <w:fldChar w:fldCharType="separate"/>
        </w:r>
        <w:r w:rsidRPr="00487B82">
          <w:rPr>
            <w:b/>
            <w:noProof/>
            <w:color w:val="002060"/>
            <w:sz w:val="20"/>
            <w:szCs w:val="20"/>
          </w:rPr>
          <w:t>2</w:t>
        </w:r>
        <w:r w:rsidRPr="00487B82">
          <w:rPr>
            <w:b/>
            <w:noProof/>
            <w:color w:val="002060"/>
            <w:sz w:val="20"/>
            <w:szCs w:val="20"/>
          </w:rPr>
          <w:fldChar w:fldCharType="end"/>
        </w:r>
        <w:r w:rsidRPr="00487B82">
          <w:rPr>
            <w:color w:val="002060"/>
            <w:sz w:val="20"/>
            <w:szCs w:val="20"/>
          </w:rPr>
          <w:t xml:space="preserve"> | </w:t>
        </w:r>
        <w:r w:rsidRPr="00487B82">
          <w:rPr>
            <w:color w:val="002060"/>
            <w:spacing w:val="60"/>
            <w:sz w:val="20"/>
            <w:szCs w:val="20"/>
          </w:rPr>
          <w:t>Page</w:t>
        </w:r>
      </w:p>
    </w:sdtContent>
  </w:sdt>
  <w:p w14:paraId="4C977662" w14:textId="77777777" w:rsidR="00487B82" w:rsidRDefault="00487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0E25" w14:textId="77777777" w:rsidR="00AC4968" w:rsidRDefault="00AC4968" w:rsidP="001D6460">
      <w:r>
        <w:separator/>
      </w:r>
    </w:p>
  </w:footnote>
  <w:footnote w:type="continuationSeparator" w:id="0">
    <w:p w14:paraId="0008D0B6" w14:textId="77777777" w:rsidR="00AC4968" w:rsidRDefault="00AC4968" w:rsidP="001D6460">
      <w:r>
        <w:continuationSeparator/>
      </w:r>
    </w:p>
  </w:footnote>
  <w:footnote w:type="continuationNotice" w:id="1">
    <w:p w14:paraId="1F204925" w14:textId="77777777" w:rsidR="00AC4968" w:rsidRDefault="00AC49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7571" w14:textId="65CF26D0" w:rsidR="001D6460" w:rsidRDefault="00156B24" w:rsidP="00156B24">
    <w:pPr>
      <w:pStyle w:val="Header"/>
      <w:pBdr>
        <w:bottom w:val="single" w:sz="4" w:space="1" w:color="auto"/>
      </w:pBdr>
      <w:jc w:val="both"/>
    </w:pPr>
    <w:r>
      <w:rPr>
        <w:noProof/>
      </w:rPr>
      <w:drawing>
        <wp:inline distT="0" distB="0" distL="0" distR="0" wp14:anchorId="58156AAF" wp14:editId="613E974E">
          <wp:extent cx="2296621" cy="355426"/>
          <wp:effectExtent l="0" t="0" r="0" b="6985"/>
          <wp:docPr id="5" name="Picture 5" descr="https://pldr.datapress.io/wp-content/themes/bulma-pldr/img/nih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pldr.datapress.io/wp-content/themes/bulma-pldr/img/nihr-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76" b="18831"/>
                  <a:stretch/>
                </pic:blipFill>
                <pic:spPr bwMode="auto">
                  <a:xfrm>
                    <a:off x="0" y="0"/>
                    <a:ext cx="2392143" cy="3702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F0245" w:rsidRPr="006F0245">
      <w:rPr>
        <w:noProof/>
        <w:lang w:eastAsia="en-GB"/>
      </w:rPr>
      <w:t xml:space="preserve"> </w:t>
    </w:r>
    <w:r w:rsidR="00DD1EA9">
      <w:rPr>
        <w:noProof/>
        <w:lang w:eastAsia="en-GB"/>
      </w:rPr>
      <w:t xml:space="preserve">                                </w:t>
    </w:r>
    <w:r w:rsidR="00D12095">
      <w:rPr>
        <w:noProof/>
        <w:lang w:eastAsia="en-GB"/>
      </w:rPr>
      <w:t xml:space="preserve">                      </w:t>
    </w:r>
    <w:r>
      <w:rPr>
        <w:noProof/>
        <w:lang w:eastAsia="en-GB"/>
      </w:rPr>
      <w:t xml:space="preserve">        </w:t>
    </w:r>
    <w:r w:rsidR="00685611">
      <w:rPr>
        <w:noProof/>
        <w:lang w:eastAsia="en-GB"/>
      </w:rPr>
      <w:t xml:space="preserve"> </w:t>
    </w:r>
    <w:r>
      <w:rPr>
        <w:noProof/>
        <w:lang w:eastAsia="en-GB"/>
      </w:rPr>
      <w:t xml:space="preserve">         </w:t>
    </w:r>
    <w:r w:rsidR="00D12095">
      <w:rPr>
        <w:noProof/>
        <w:lang w:eastAsia="en-GB"/>
      </w:rPr>
      <w:t xml:space="preserve">       </w:t>
    </w:r>
    <w:r w:rsidR="00685611">
      <w:rPr>
        <w:noProof/>
      </w:rPr>
      <w:drawing>
        <wp:inline distT="0" distB="0" distL="0" distR="0" wp14:anchorId="28AECD39" wp14:editId="3526C77B">
          <wp:extent cx="1341904" cy="360103"/>
          <wp:effectExtent l="0" t="0" r="0" b="1905"/>
          <wp:docPr id="6" name="Picture 6" descr="https://pldr.datapress.io/wp-content/themes/bulma-pldr/img/bran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pldr.datapress.io/wp-content/themes/bulma-pldr/img/brand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956" cy="40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45F"/>
    <w:multiLevelType w:val="hybridMultilevel"/>
    <w:tmpl w:val="8C2AA4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A50C0"/>
    <w:multiLevelType w:val="hybridMultilevel"/>
    <w:tmpl w:val="C7EE9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9598">
    <w:abstractNumId w:val="1"/>
  </w:num>
  <w:num w:numId="2" w16cid:durableId="17651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GwMDUwNTM2NzQztbBQ0lEKTi0uzszPAykwrAUAgUIP8CwAAAA="/>
  </w:docVars>
  <w:rsids>
    <w:rsidRoot w:val="001D6460"/>
    <w:rsid w:val="00007652"/>
    <w:rsid w:val="00007EFC"/>
    <w:rsid w:val="00020C31"/>
    <w:rsid w:val="00022C9C"/>
    <w:rsid w:val="00025C91"/>
    <w:rsid w:val="0004157E"/>
    <w:rsid w:val="00043C29"/>
    <w:rsid w:val="00046544"/>
    <w:rsid w:val="0004690B"/>
    <w:rsid w:val="00053D81"/>
    <w:rsid w:val="00057480"/>
    <w:rsid w:val="00063BF4"/>
    <w:rsid w:val="00064319"/>
    <w:rsid w:val="00065300"/>
    <w:rsid w:val="00067C44"/>
    <w:rsid w:val="00071B77"/>
    <w:rsid w:val="0007763A"/>
    <w:rsid w:val="000A7267"/>
    <w:rsid w:val="000B29AF"/>
    <w:rsid w:val="000B4236"/>
    <w:rsid w:val="000B646F"/>
    <w:rsid w:val="000C0952"/>
    <w:rsid w:val="000C2A2C"/>
    <w:rsid w:val="000E6125"/>
    <w:rsid w:val="000F39F4"/>
    <w:rsid w:val="000F3ECE"/>
    <w:rsid w:val="0010384B"/>
    <w:rsid w:val="001152CC"/>
    <w:rsid w:val="00115800"/>
    <w:rsid w:val="00117DD0"/>
    <w:rsid w:val="00121630"/>
    <w:rsid w:val="0012180B"/>
    <w:rsid w:val="0012641C"/>
    <w:rsid w:val="00130DFE"/>
    <w:rsid w:val="00135334"/>
    <w:rsid w:val="00135FFD"/>
    <w:rsid w:val="00141361"/>
    <w:rsid w:val="00141575"/>
    <w:rsid w:val="0015143A"/>
    <w:rsid w:val="00151DEF"/>
    <w:rsid w:val="00155419"/>
    <w:rsid w:val="00156923"/>
    <w:rsid w:val="00156B24"/>
    <w:rsid w:val="0015711D"/>
    <w:rsid w:val="001623FB"/>
    <w:rsid w:val="00163B38"/>
    <w:rsid w:val="0017034F"/>
    <w:rsid w:val="00171425"/>
    <w:rsid w:val="0017328E"/>
    <w:rsid w:val="00181AFA"/>
    <w:rsid w:val="0018528C"/>
    <w:rsid w:val="00186AA3"/>
    <w:rsid w:val="00191879"/>
    <w:rsid w:val="00197FDD"/>
    <w:rsid w:val="001A2822"/>
    <w:rsid w:val="001A62EC"/>
    <w:rsid w:val="001B09EF"/>
    <w:rsid w:val="001B3B84"/>
    <w:rsid w:val="001C1928"/>
    <w:rsid w:val="001C1D3F"/>
    <w:rsid w:val="001C2DF6"/>
    <w:rsid w:val="001C3DD2"/>
    <w:rsid w:val="001D6460"/>
    <w:rsid w:val="001D7171"/>
    <w:rsid w:val="001E1AD7"/>
    <w:rsid w:val="001E54DA"/>
    <w:rsid w:val="001E668D"/>
    <w:rsid w:val="001F10D1"/>
    <w:rsid w:val="001F1696"/>
    <w:rsid w:val="001F7AD6"/>
    <w:rsid w:val="00201B53"/>
    <w:rsid w:val="002037BD"/>
    <w:rsid w:val="00210044"/>
    <w:rsid w:val="00215368"/>
    <w:rsid w:val="00224C66"/>
    <w:rsid w:val="00226495"/>
    <w:rsid w:val="002307EA"/>
    <w:rsid w:val="00231D24"/>
    <w:rsid w:val="00252A06"/>
    <w:rsid w:val="00253B60"/>
    <w:rsid w:val="00253F41"/>
    <w:rsid w:val="0025432D"/>
    <w:rsid w:val="00260D0C"/>
    <w:rsid w:val="0026217F"/>
    <w:rsid w:val="0026434C"/>
    <w:rsid w:val="002716B7"/>
    <w:rsid w:val="00271F39"/>
    <w:rsid w:val="00273830"/>
    <w:rsid w:val="002800B7"/>
    <w:rsid w:val="00287352"/>
    <w:rsid w:val="002C3015"/>
    <w:rsid w:val="002C71D1"/>
    <w:rsid w:val="002D125C"/>
    <w:rsid w:val="002D4AE3"/>
    <w:rsid w:val="002E4400"/>
    <w:rsid w:val="002E65B7"/>
    <w:rsid w:val="002F42CF"/>
    <w:rsid w:val="002F4767"/>
    <w:rsid w:val="0030660F"/>
    <w:rsid w:val="00323097"/>
    <w:rsid w:val="0033087F"/>
    <w:rsid w:val="00352B78"/>
    <w:rsid w:val="003531AD"/>
    <w:rsid w:val="003573ED"/>
    <w:rsid w:val="00361348"/>
    <w:rsid w:val="00370C58"/>
    <w:rsid w:val="00371218"/>
    <w:rsid w:val="00373D0A"/>
    <w:rsid w:val="003A30D4"/>
    <w:rsid w:val="003C136A"/>
    <w:rsid w:val="003C1454"/>
    <w:rsid w:val="003D4065"/>
    <w:rsid w:val="003E12F8"/>
    <w:rsid w:val="003F72C3"/>
    <w:rsid w:val="003F77A0"/>
    <w:rsid w:val="00407263"/>
    <w:rsid w:val="00411D22"/>
    <w:rsid w:val="00411E25"/>
    <w:rsid w:val="00412FA9"/>
    <w:rsid w:val="004177E4"/>
    <w:rsid w:val="00417BF6"/>
    <w:rsid w:val="004259B1"/>
    <w:rsid w:val="00425BBB"/>
    <w:rsid w:val="00431661"/>
    <w:rsid w:val="00442BA5"/>
    <w:rsid w:val="004523E1"/>
    <w:rsid w:val="00456427"/>
    <w:rsid w:val="0046557D"/>
    <w:rsid w:val="00474C1B"/>
    <w:rsid w:val="0047589B"/>
    <w:rsid w:val="00480FD7"/>
    <w:rsid w:val="0048523B"/>
    <w:rsid w:val="00485B7C"/>
    <w:rsid w:val="00487B82"/>
    <w:rsid w:val="004955F3"/>
    <w:rsid w:val="00496135"/>
    <w:rsid w:val="004A0553"/>
    <w:rsid w:val="004A18DB"/>
    <w:rsid w:val="004A1EB9"/>
    <w:rsid w:val="004A374D"/>
    <w:rsid w:val="004A3C68"/>
    <w:rsid w:val="004A402C"/>
    <w:rsid w:val="004B6924"/>
    <w:rsid w:val="004C0AFE"/>
    <w:rsid w:val="004C1316"/>
    <w:rsid w:val="004C2189"/>
    <w:rsid w:val="004C6C44"/>
    <w:rsid w:val="004D06BE"/>
    <w:rsid w:val="004D11DE"/>
    <w:rsid w:val="004D16EF"/>
    <w:rsid w:val="004D4576"/>
    <w:rsid w:val="004D7835"/>
    <w:rsid w:val="004E7A90"/>
    <w:rsid w:val="004F4AE7"/>
    <w:rsid w:val="00503161"/>
    <w:rsid w:val="005042CB"/>
    <w:rsid w:val="005043F2"/>
    <w:rsid w:val="005109E8"/>
    <w:rsid w:val="005229B4"/>
    <w:rsid w:val="005240D8"/>
    <w:rsid w:val="005241BF"/>
    <w:rsid w:val="00527C25"/>
    <w:rsid w:val="00527F90"/>
    <w:rsid w:val="005338EF"/>
    <w:rsid w:val="00537441"/>
    <w:rsid w:val="00541785"/>
    <w:rsid w:val="00546129"/>
    <w:rsid w:val="00550692"/>
    <w:rsid w:val="0056008A"/>
    <w:rsid w:val="005758A8"/>
    <w:rsid w:val="0058189A"/>
    <w:rsid w:val="00581E11"/>
    <w:rsid w:val="005837D1"/>
    <w:rsid w:val="00592972"/>
    <w:rsid w:val="005A3A87"/>
    <w:rsid w:val="005B08B4"/>
    <w:rsid w:val="005B0938"/>
    <w:rsid w:val="005B38B0"/>
    <w:rsid w:val="005B47C7"/>
    <w:rsid w:val="005C02BB"/>
    <w:rsid w:val="005C379C"/>
    <w:rsid w:val="005C3FF0"/>
    <w:rsid w:val="005D1A7B"/>
    <w:rsid w:val="005E3932"/>
    <w:rsid w:val="005E4935"/>
    <w:rsid w:val="005E56DC"/>
    <w:rsid w:val="005E6E76"/>
    <w:rsid w:val="005F407C"/>
    <w:rsid w:val="005F4A02"/>
    <w:rsid w:val="00600BF1"/>
    <w:rsid w:val="00603272"/>
    <w:rsid w:val="006128C7"/>
    <w:rsid w:val="0061511E"/>
    <w:rsid w:val="00623192"/>
    <w:rsid w:val="00636862"/>
    <w:rsid w:val="0065471B"/>
    <w:rsid w:val="0065738A"/>
    <w:rsid w:val="00664A4F"/>
    <w:rsid w:val="00667906"/>
    <w:rsid w:val="006776C9"/>
    <w:rsid w:val="00684CE8"/>
    <w:rsid w:val="00685611"/>
    <w:rsid w:val="0069027B"/>
    <w:rsid w:val="00691ED3"/>
    <w:rsid w:val="0069303C"/>
    <w:rsid w:val="006A5939"/>
    <w:rsid w:val="006B1369"/>
    <w:rsid w:val="006B2F12"/>
    <w:rsid w:val="006B33DE"/>
    <w:rsid w:val="006B3DCF"/>
    <w:rsid w:val="006C2286"/>
    <w:rsid w:val="006C5083"/>
    <w:rsid w:val="006C52A9"/>
    <w:rsid w:val="006C6C65"/>
    <w:rsid w:val="006C7FCC"/>
    <w:rsid w:val="006D2D9C"/>
    <w:rsid w:val="006D378A"/>
    <w:rsid w:val="006E2DFD"/>
    <w:rsid w:val="006E62F0"/>
    <w:rsid w:val="006F0245"/>
    <w:rsid w:val="006F065A"/>
    <w:rsid w:val="006F0673"/>
    <w:rsid w:val="006F5E20"/>
    <w:rsid w:val="00707380"/>
    <w:rsid w:val="00712EE6"/>
    <w:rsid w:val="00717595"/>
    <w:rsid w:val="007205E0"/>
    <w:rsid w:val="00723C51"/>
    <w:rsid w:val="00727D0E"/>
    <w:rsid w:val="00730A9C"/>
    <w:rsid w:val="007478CD"/>
    <w:rsid w:val="00751DB2"/>
    <w:rsid w:val="00756CCF"/>
    <w:rsid w:val="007725CB"/>
    <w:rsid w:val="00772EE7"/>
    <w:rsid w:val="00777BDA"/>
    <w:rsid w:val="00791B7E"/>
    <w:rsid w:val="0079458D"/>
    <w:rsid w:val="00794D18"/>
    <w:rsid w:val="007A16A3"/>
    <w:rsid w:val="007B0433"/>
    <w:rsid w:val="007B0B72"/>
    <w:rsid w:val="007B75EB"/>
    <w:rsid w:val="007C05ED"/>
    <w:rsid w:val="007C2994"/>
    <w:rsid w:val="007C33ED"/>
    <w:rsid w:val="007C3E38"/>
    <w:rsid w:val="007C5711"/>
    <w:rsid w:val="007E1B40"/>
    <w:rsid w:val="007E460E"/>
    <w:rsid w:val="007E4DFA"/>
    <w:rsid w:val="0080757A"/>
    <w:rsid w:val="00815715"/>
    <w:rsid w:val="008219CE"/>
    <w:rsid w:val="00823733"/>
    <w:rsid w:val="00830818"/>
    <w:rsid w:val="0083229C"/>
    <w:rsid w:val="00833423"/>
    <w:rsid w:val="00853D6B"/>
    <w:rsid w:val="00857939"/>
    <w:rsid w:val="00863BFC"/>
    <w:rsid w:val="0086516B"/>
    <w:rsid w:val="00867A8A"/>
    <w:rsid w:val="00867F01"/>
    <w:rsid w:val="008714ED"/>
    <w:rsid w:val="00875F19"/>
    <w:rsid w:val="00883531"/>
    <w:rsid w:val="00890509"/>
    <w:rsid w:val="008A14F9"/>
    <w:rsid w:val="008A5CB6"/>
    <w:rsid w:val="008A7327"/>
    <w:rsid w:val="008B15CD"/>
    <w:rsid w:val="008B3AC1"/>
    <w:rsid w:val="008B4668"/>
    <w:rsid w:val="008B48CF"/>
    <w:rsid w:val="008B7727"/>
    <w:rsid w:val="008C0ADB"/>
    <w:rsid w:val="008D5CEF"/>
    <w:rsid w:val="008D757C"/>
    <w:rsid w:val="008E6640"/>
    <w:rsid w:val="008E7A3A"/>
    <w:rsid w:val="00904EA2"/>
    <w:rsid w:val="009251D7"/>
    <w:rsid w:val="00934F12"/>
    <w:rsid w:val="00940355"/>
    <w:rsid w:val="00947AB3"/>
    <w:rsid w:val="00950D65"/>
    <w:rsid w:val="00951DF1"/>
    <w:rsid w:val="00954049"/>
    <w:rsid w:val="00955D72"/>
    <w:rsid w:val="0095726D"/>
    <w:rsid w:val="00964697"/>
    <w:rsid w:val="00971D98"/>
    <w:rsid w:val="00973A88"/>
    <w:rsid w:val="0097681F"/>
    <w:rsid w:val="0097689E"/>
    <w:rsid w:val="00981DF1"/>
    <w:rsid w:val="0099121F"/>
    <w:rsid w:val="00995A33"/>
    <w:rsid w:val="009A0454"/>
    <w:rsid w:val="009C42FA"/>
    <w:rsid w:val="009C5487"/>
    <w:rsid w:val="009E7F1F"/>
    <w:rsid w:val="009F3A45"/>
    <w:rsid w:val="009F619E"/>
    <w:rsid w:val="009F7391"/>
    <w:rsid w:val="00A06A9A"/>
    <w:rsid w:val="00A11F06"/>
    <w:rsid w:val="00A1424D"/>
    <w:rsid w:val="00A165FB"/>
    <w:rsid w:val="00A23943"/>
    <w:rsid w:val="00A25AC8"/>
    <w:rsid w:val="00A312C7"/>
    <w:rsid w:val="00A37A47"/>
    <w:rsid w:val="00A43E47"/>
    <w:rsid w:val="00A46525"/>
    <w:rsid w:val="00A508C6"/>
    <w:rsid w:val="00A54326"/>
    <w:rsid w:val="00A56E95"/>
    <w:rsid w:val="00A57F0D"/>
    <w:rsid w:val="00A65886"/>
    <w:rsid w:val="00A74B06"/>
    <w:rsid w:val="00A83705"/>
    <w:rsid w:val="00A864CF"/>
    <w:rsid w:val="00A91E89"/>
    <w:rsid w:val="00A93533"/>
    <w:rsid w:val="00AA0AE6"/>
    <w:rsid w:val="00AB439D"/>
    <w:rsid w:val="00AB5263"/>
    <w:rsid w:val="00AC4968"/>
    <w:rsid w:val="00AD1E14"/>
    <w:rsid w:val="00AD75BF"/>
    <w:rsid w:val="00AE2B19"/>
    <w:rsid w:val="00AF54CF"/>
    <w:rsid w:val="00AF7A00"/>
    <w:rsid w:val="00B045C7"/>
    <w:rsid w:val="00B05D03"/>
    <w:rsid w:val="00B20E1C"/>
    <w:rsid w:val="00B21DF8"/>
    <w:rsid w:val="00B23C66"/>
    <w:rsid w:val="00B26FFF"/>
    <w:rsid w:val="00B33DF6"/>
    <w:rsid w:val="00B34172"/>
    <w:rsid w:val="00B342E1"/>
    <w:rsid w:val="00B44E90"/>
    <w:rsid w:val="00B45456"/>
    <w:rsid w:val="00B46C3F"/>
    <w:rsid w:val="00B508FA"/>
    <w:rsid w:val="00B52196"/>
    <w:rsid w:val="00B52D83"/>
    <w:rsid w:val="00B62406"/>
    <w:rsid w:val="00B64400"/>
    <w:rsid w:val="00B7004A"/>
    <w:rsid w:val="00B71567"/>
    <w:rsid w:val="00B723F9"/>
    <w:rsid w:val="00B743F5"/>
    <w:rsid w:val="00B748BD"/>
    <w:rsid w:val="00B75330"/>
    <w:rsid w:val="00B77680"/>
    <w:rsid w:val="00B82450"/>
    <w:rsid w:val="00B83ADE"/>
    <w:rsid w:val="00B84439"/>
    <w:rsid w:val="00B86B02"/>
    <w:rsid w:val="00B9268C"/>
    <w:rsid w:val="00B96248"/>
    <w:rsid w:val="00B962A7"/>
    <w:rsid w:val="00BA0F24"/>
    <w:rsid w:val="00BA4CFC"/>
    <w:rsid w:val="00BA4E61"/>
    <w:rsid w:val="00BA70F6"/>
    <w:rsid w:val="00BC4C96"/>
    <w:rsid w:val="00BD7010"/>
    <w:rsid w:val="00BE1363"/>
    <w:rsid w:val="00C0001F"/>
    <w:rsid w:val="00C0043E"/>
    <w:rsid w:val="00C032EE"/>
    <w:rsid w:val="00C056C1"/>
    <w:rsid w:val="00C05948"/>
    <w:rsid w:val="00C06E81"/>
    <w:rsid w:val="00C0781D"/>
    <w:rsid w:val="00C12F98"/>
    <w:rsid w:val="00C25E8D"/>
    <w:rsid w:val="00C27E34"/>
    <w:rsid w:val="00C41B51"/>
    <w:rsid w:val="00C43F4A"/>
    <w:rsid w:val="00C51987"/>
    <w:rsid w:val="00C55073"/>
    <w:rsid w:val="00C62369"/>
    <w:rsid w:val="00C65497"/>
    <w:rsid w:val="00C6653A"/>
    <w:rsid w:val="00C83A6B"/>
    <w:rsid w:val="00C842C0"/>
    <w:rsid w:val="00C85F4F"/>
    <w:rsid w:val="00C9032C"/>
    <w:rsid w:val="00C92D59"/>
    <w:rsid w:val="00CA1E35"/>
    <w:rsid w:val="00CA6A8A"/>
    <w:rsid w:val="00CC004F"/>
    <w:rsid w:val="00CC0BF5"/>
    <w:rsid w:val="00CC6A98"/>
    <w:rsid w:val="00CD3AC9"/>
    <w:rsid w:val="00CE150A"/>
    <w:rsid w:val="00CF26AF"/>
    <w:rsid w:val="00CF5078"/>
    <w:rsid w:val="00CF508A"/>
    <w:rsid w:val="00D00295"/>
    <w:rsid w:val="00D00925"/>
    <w:rsid w:val="00D03A06"/>
    <w:rsid w:val="00D04801"/>
    <w:rsid w:val="00D10D49"/>
    <w:rsid w:val="00D12095"/>
    <w:rsid w:val="00D1309B"/>
    <w:rsid w:val="00D13CE3"/>
    <w:rsid w:val="00D23BE5"/>
    <w:rsid w:val="00D35A52"/>
    <w:rsid w:val="00D425AC"/>
    <w:rsid w:val="00D43994"/>
    <w:rsid w:val="00D50E0D"/>
    <w:rsid w:val="00D600A7"/>
    <w:rsid w:val="00D60E6B"/>
    <w:rsid w:val="00D62AFA"/>
    <w:rsid w:val="00D8098E"/>
    <w:rsid w:val="00D86EBD"/>
    <w:rsid w:val="00D90220"/>
    <w:rsid w:val="00D903B8"/>
    <w:rsid w:val="00DA31C5"/>
    <w:rsid w:val="00DB6724"/>
    <w:rsid w:val="00DB7A7E"/>
    <w:rsid w:val="00DC57EA"/>
    <w:rsid w:val="00DD1EA9"/>
    <w:rsid w:val="00DD54C7"/>
    <w:rsid w:val="00DE0F23"/>
    <w:rsid w:val="00DE118E"/>
    <w:rsid w:val="00DE1CB5"/>
    <w:rsid w:val="00DE510D"/>
    <w:rsid w:val="00DF2177"/>
    <w:rsid w:val="00DF6B13"/>
    <w:rsid w:val="00E0083F"/>
    <w:rsid w:val="00E232A6"/>
    <w:rsid w:val="00E2472C"/>
    <w:rsid w:val="00E34BCE"/>
    <w:rsid w:val="00E36234"/>
    <w:rsid w:val="00E37079"/>
    <w:rsid w:val="00E41176"/>
    <w:rsid w:val="00E720FB"/>
    <w:rsid w:val="00E86688"/>
    <w:rsid w:val="00E92AE1"/>
    <w:rsid w:val="00E9757F"/>
    <w:rsid w:val="00EA030D"/>
    <w:rsid w:val="00EB39C6"/>
    <w:rsid w:val="00EB408D"/>
    <w:rsid w:val="00EC161A"/>
    <w:rsid w:val="00EC1882"/>
    <w:rsid w:val="00EC40F5"/>
    <w:rsid w:val="00EE0A51"/>
    <w:rsid w:val="00EE56F6"/>
    <w:rsid w:val="00EE6BD3"/>
    <w:rsid w:val="00EF19FB"/>
    <w:rsid w:val="00EF2C44"/>
    <w:rsid w:val="00F01EA9"/>
    <w:rsid w:val="00F020C9"/>
    <w:rsid w:val="00F040A2"/>
    <w:rsid w:val="00F10CA8"/>
    <w:rsid w:val="00F144A3"/>
    <w:rsid w:val="00F1546E"/>
    <w:rsid w:val="00F1698D"/>
    <w:rsid w:val="00F201F1"/>
    <w:rsid w:val="00F21ED3"/>
    <w:rsid w:val="00F233B7"/>
    <w:rsid w:val="00F24306"/>
    <w:rsid w:val="00F2534B"/>
    <w:rsid w:val="00F26157"/>
    <w:rsid w:val="00F37048"/>
    <w:rsid w:val="00F46507"/>
    <w:rsid w:val="00F47506"/>
    <w:rsid w:val="00F53FD9"/>
    <w:rsid w:val="00F5748E"/>
    <w:rsid w:val="00F62E15"/>
    <w:rsid w:val="00F752BD"/>
    <w:rsid w:val="00F7536E"/>
    <w:rsid w:val="00F86831"/>
    <w:rsid w:val="00F91631"/>
    <w:rsid w:val="00F933BB"/>
    <w:rsid w:val="00FA529B"/>
    <w:rsid w:val="00FA65EE"/>
    <w:rsid w:val="00FB327A"/>
    <w:rsid w:val="00FC17B7"/>
    <w:rsid w:val="00FC5C31"/>
    <w:rsid w:val="00FC631C"/>
    <w:rsid w:val="00FD138A"/>
    <w:rsid w:val="00FD4F70"/>
    <w:rsid w:val="00FD56DE"/>
    <w:rsid w:val="00FD579A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514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312C7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460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6460"/>
  </w:style>
  <w:style w:type="paragraph" w:styleId="Footer">
    <w:name w:val="footer"/>
    <w:basedOn w:val="Normal"/>
    <w:link w:val="FooterChar"/>
    <w:uiPriority w:val="99"/>
    <w:unhideWhenUsed/>
    <w:rsid w:val="001D6460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6460"/>
  </w:style>
  <w:style w:type="table" w:styleId="TableGrid">
    <w:name w:val="Table Grid"/>
    <w:basedOn w:val="TableNormal"/>
    <w:uiPriority w:val="39"/>
    <w:rsid w:val="00B7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E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0D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D65"/>
    <w:rPr>
      <w:color w:val="954F72" w:themeColor="followedHyperlink"/>
      <w:u w:val="single"/>
    </w:rPr>
  </w:style>
  <w:style w:type="table" w:styleId="GridTable4-Accent3">
    <w:name w:val="Grid Table 4 Accent 3"/>
    <w:basedOn w:val="TableNormal"/>
    <w:uiPriority w:val="49"/>
    <w:rsid w:val="00B5219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msonormal0">
    <w:name w:val="msonormal"/>
    <w:basedOn w:val="Normal"/>
    <w:rsid w:val="003F72C3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rsid w:val="00904EA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BD3"/>
    <w:rPr>
      <w:rFonts w:ascii="Segoe UI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7A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6928E361C684DAD9661330A7C00FD" ma:contentTypeVersion="18" ma:contentTypeDescription="Create a new document." ma:contentTypeScope="" ma:versionID="a784dd8c51bebfe6dd9f200bc21377eb">
  <xsd:schema xmlns:xsd="http://www.w3.org/2001/XMLSchema" xmlns:xs="http://www.w3.org/2001/XMLSchema" xmlns:p="http://schemas.microsoft.com/office/2006/metadata/properties" xmlns:ns1="http://schemas.microsoft.com/sharepoint/v3" xmlns:ns2="b346b6d3-08c9-40b3-b59a-b15832b9abea" xmlns:ns3="999d859a-2f9a-4b93-8a72-ed9bfab19d66" targetNamespace="http://schemas.microsoft.com/office/2006/metadata/properties" ma:root="true" ma:fieldsID="60b3245cb967f8978a2381d459af882a" ns1:_="" ns2:_="" ns3:_="">
    <xsd:import namespace="http://schemas.microsoft.com/sharepoint/v3"/>
    <xsd:import namespace="b346b6d3-08c9-40b3-b59a-b15832b9abea"/>
    <xsd:import namespace="999d859a-2f9a-4b93-8a72-ed9bfab19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6b6d3-08c9-40b3-b59a-b15832b9a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d859a-2f9a-4b93-8a72-ed9bfab19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04db71-c453-48c2-bc97-f552c29200e5}" ma:internalName="TaxCatchAll" ma:showField="CatchAllData" ma:web="999d859a-2f9a-4b93-8a72-ed9bfab19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346b6d3-08c9-40b3-b59a-b15832b9abea">
      <Terms xmlns="http://schemas.microsoft.com/office/infopath/2007/PartnerControls"/>
    </lcf76f155ced4ddcb4097134ff3c332f>
    <TaxCatchAll xmlns="999d859a-2f9a-4b93-8a72-ed9bfab19d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FB1C530-4197-4A8F-BA28-BE6DB35B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6b6d3-08c9-40b3-b59a-b15832b9abea"/>
    <ds:schemaRef ds:uri="999d859a-2f9a-4b93-8a72-ed9bfab19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C8043-CD93-4000-8AA8-7A9FE4FEB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6AD23-8A15-4878-BC4A-39784736C3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46b6d3-08c9-40b3-b59a-b15832b9abea"/>
    <ds:schemaRef ds:uri="999d859a-2f9a-4b93-8a72-ed9bfab19d66"/>
  </ds:schemaRefs>
</ds:datastoreItem>
</file>

<file path=customXml/itemProps4.xml><?xml version="1.0" encoding="utf-8"?>
<ds:datastoreItem xmlns:ds="http://schemas.openxmlformats.org/officeDocument/2006/customXml" ds:itemID="{CD69098D-0ABE-4156-A390-8583882E5B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Daras, Konstantinos</dc:creator>
  <cp:keywords/>
  <dc:description/>
  <cp:lastModifiedBy>Daras, Konstantinos</cp:lastModifiedBy>
  <cp:revision>3</cp:revision>
  <cp:lastPrinted>2020-01-24T21:29:00Z</cp:lastPrinted>
  <dcterms:created xsi:type="dcterms:W3CDTF">2025-02-27T16:09:00Z</dcterms:created>
  <dcterms:modified xsi:type="dcterms:W3CDTF">2025-03-05T12:53:00Z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0x0101002876928E361C684DAD9661330A7C00FD</vt:lpwstr>
  </property>
  <property fmtid="{D5CDD505-2E9C-101B-9397-08002B2CF9AE}" pid="3" name="MediaServiceImageTags">
    <vt:lpwstr/>
  </property>
</Properties>
</file>